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4B9696" w14:textId="6F968E8C" w:rsidR="00682575" w:rsidRPr="009677CE" w:rsidRDefault="001A67CB" w:rsidP="009677CE">
      <w:pPr>
        <w:spacing w:line="276" w:lineRule="auto"/>
        <w:jc w:val="center"/>
        <w:rPr>
          <w:rFonts w:ascii="Century Gothic" w:eastAsia="Times New Roman" w:hAnsi="Century Gothic" w:cs="Times New Roman"/>
          <w:b/>
          <w:bCs/>
          <w:color w:val="000000"/>
          <w:kern w:val="36"/>
          <w:sz w:val="22"/>
          <w:szCs w:val="22"/>
          <w:lang w:eastAsia="pt-PT"/>
        </w:rPr>
      </w:pPr>
      <w:bookmarkStart w:id="0" w:name="_Toc464666597"/>
      <w:r w:rsidRPr="009677CE">
        <w:rPr>
          <w:rFonts w:ascii="Century Gothic" w:eastAsia="Times New Roman" w:hAnsi="Century Gothic" w:cs="Times New Roman"/>
          <w:b/>
          <w:bCs/>
          <w:color w:val="000000"/>
          <w:kern w:val="36"/>
          <w:sz w:val="22"/>
          <w:szCs w:val="22"/>
          <w:lang w:eastAsia="pt-PT"/>
        </w:rPr>
        <w:t>Código</w:t>
      </w:r>
      <w:r w:rsidR="00682575" w:rsidRPr="009677CE">
        <w:rPr>
          <w:rFonts w:ascii="Century Gothic" w:eastAsia="Times New Roman" w:hAnsi="Century Gothic" w:cs="Times New Roman"/>
          <w:b/>
          <w:bCs/>
          <w:color w:val="000000"/>
          <w:kern w:val="36"/>
          <w:sz w:val="22"/>
          <w:szCs w:val="22"/>
          <w:lang w:eastAsia="pt-PT"/>
        </w:rPr>
        <w:t xml:space="preserve"> de asignatura: </w:t>
      </w:r>
    </w:p>
    <w:p w14:paraId="094624C3" w14:textId="77777777" w:rsidR="00836D01" w:rsidRPr="009677CE" w:rsidRDefault="00836D01" w:rsidP="009677CE">
      <w:pPr>
        <w:spacing w:line="276" w:lineRule="auto"/>
        <w:jc w:val="center"/>
        <w:rPr>
          <w:rFonts w:ascii="Century Gothic" w:eastAsia="Times New Roman" w:hAnsi="Century Gothic" w:cs="Times New Roman"/>
          <w:b/>
          <w:bCs/>
          <w:color w:val="000000"/>
          <w:kern w:val="36"/>
          <w:sz w:val="22"/>
          <w:szCs w:val="22"/>
          <w:lang w:eastAsia="pt-PT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476"/>
        <w:gridCol w:w="5028"/>
      </w:tblGrid>
      <w:tr w:rsidR="00682575" w:rsidRPr="009677CE" w14:paraId="213C43B4" w14:textId="77777777" w:rsidTr="00195CFA">
        <w:trPr>
          <w:jc w:val="center"/>
        </w:trPr>
        <w:tc>
          <w:tcPr>
            <w:tcW w:w="4476" w:type="dxa"/>
          </w:tcPr>
          <w:p w14:paraId="6DFC2A13" w14:textId="3EF19C62" w:rsidR="00682575" w:rsidRPr="009677CE" w:rsidRDefault="00682575" w:rsidP="009677CE">
            <w:pPr>
              <w:spacing w:line="276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9677CE"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  <w:t>Nombre del programa académico</w:t>
            </w:r>
          </w:p>
        </w:tc>
        <w:tc>
          <w:tcPr>
            <w:tcW w:w="5028" w:type="dxa"/>
          </w:tcPr>
          <w:p w14:paraId="7DE6FB1B" w14:textId="3B70638F" w:rsidR="00682575" w:rsidRPr="009677CE" w:rsidRDefault="00612301" w:rsidP="009677CE">
            <w:pPr>
              <w:spacing w:line="276" w:lineRule="auto"/>
              <w:jc w:val="center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9677CE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>ESPECIALIZACIÓN EN DERECHO ADMINISTRATIVO</w:t>
            </w:r>
          </w:p>
        </w:tc>
      </w:tr>
      <w:tr w:rsidR="00682575" w:rsidRPr="009677CE" w14:paraId="3EC87C12" w14:textId="77777777" w:rsidTr="00195CFA">
        <w:trPr>
          <w:jc w:val="center"/>
        </w:trPr>
        <w:tc>
          <w:tcPr>
            <w:tcW w:w="4476" w:type="dxa"/>
          </w:tcPr>
          <w:p w14:paraId="1FFE24D6" w14:textId="675BC3CC" w:rsidR="00682575" w:rsidRPr="009677CE" w:rsidRDefault="00682575" w:rsidP="009677CE">
            <w:pPr>
              <w:spacing w:line="276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9677CE"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  <w:t>Nombre completo de la asignatura</w:t>
            </w:r>
          </w:p>
        </w:tc>
        <w:tc>
          <w:tcPr>
            <w:tcW w:w="5028" w:type="dxa"/>
          </w:tcPr>
          <w:p w14:paraId="73D7F46A" w14:textId="6C84E19F" w:rsidR="00682575" w:rsidRPr="009677CE" w:rsidRDefault="009677CE" w:rsidP="009677CE">
            <w:pPr>
              <w:spacing w:line="276" w:lineRule="auto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9677CE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>Derecho Electoral</w:t>
            </w:r>
          </w:p>
        </w:tc>
      </w:tr>
      <w:tr w:rsidR="00682575" w:rsidRPr="009677CE" w14:paraId="681E50FB" w14:textId="77777777" w:rsidTr="00195CFA">
        <w:trPr>
          <w:jc w:val="center"/>
        </w:trPr>
        <w:tc>
          <w:tcPr>
            <w:tcW w:w="4476" w:type="dxa"/>
          </w:tcPr>
          <w:p w14:paraId="2E003A01" w14:textId="6134C900" w:rsidR="00682575" w:rsidRPr="009677CE" w:rsidRDefault="00682575" w:rsidP="009677CE">
            <w:pPr>
              <w:spacing w:line="276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9677CE"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  <w:t>Área académica o categoría</w:t>
            </w:r>
          </w:p>
        </w:tc>
        <w:tc>
          <w:tcPr>
            <w:tcW w:w="5028" w:type="dxa"/>
          </w:tcPr>
          <w:p w14:paraId="59BDF9A0" w14:textId="5D3FA530" w:rsidR="00682575" w:rsidRPr="009677CE" w:rsidRDefault="008962D4" w:rsidP="009677CE">
            <w:pPr>
              <w:spacing w:line="276" w:lineRule="auto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9677CE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>Derecho Administrativo</w:t>
            </w:r>
          </w:p>
        </w:tc>
      </w:tr>
      <w:tr w:rsidR="00682575" w:rsidRPr="009677CE" w14:paraId="0420127B" w14:textId="77777777" w:rsidTr="00195CFA">
        <w:trPr>
          <w:jc w:val="center"/>
        </w:trPr>
        <w:tc>
          <w:tcPr>
            <w:tcW w:w="4476" w:type="dxa"/>
          </w:tcPr>
          <w:p w14:paraId="0C718EFB" w14:textId="73B20701" w:rsidR="00682575" w:rsidRPr="009677CE" w:rsidRDefault="00682575" w:rsidP="009677CE">
            <w:pPr>
              <w:spacing w:line="276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9677CE"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  <w:t>Semestre y año de actualización</w:t>
            </w:r>
          </w:p>
        </w:tc>
        <w:tc>
          <w:tcPr>
            <w:tcW w:w="5028" w:type="dxa"/>
          </w:tcPr>
          <w:p w14:paraId="7B86F98A" w14:textId="3DD5D2E8" w:rsidR="00682575" w:rsidRPr="009677CE" w:rsidRDefault="00F074F2" w:rsidP="009677CE">
            <w:pPr>
              <w:spacing w:line="276" w:lineRule="auto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9677CE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>I - 202</w:t>
            </w:r>
            <w:r w:rsidR="008962D4" w:rsidRPr="009677CE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>0</w:t>
            </w:r>
          </w:p>
        </w:tc>
      </w:tr>
      <w:tr w:rsidR="00D30F4C" w:rsidRPr="009677CE" w14:paraId="78C6B034" w14:textId="77777777" w:rsidTr="00195CFA">
        <w:trPr>
          <w:jc w:val="center"/>
        </w:trPr>
        <w:tc>
          <w:tcPr>
            <w:tcW w:w="4476" w:type="dxa"/>
          </w:tcPr>
          <w:p w14:paraId="2E7CE1F8" w14:textId="72EF8873" w:rsidR="00D30F4C" w:rsidRPr="009677CE" w:rsidRDefault="00D30F4C" w:rsidP="009677CE">
            <w:pPr>
              <w:spacing w:line="276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9677CE"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  <w:t>Semestre y año en que se imparte</w:t>
            </w:r>
          </w:p>
        </w:tc>
        <w:tc>
          <w:tcPr>
            <w:tcW w:w="5028" w:type="dxa"/>
          </w:tcPr>
          <w:p w14:paraId="12E867AD" w14:textId="4E37032A" w:rsidR="00F074F2" w:rsidRPr="009677CE" w:rsidRDefault="00E11B90" w:rsidP="009677CE">
            <w:pPr>
              <w:pStyle w:val="NormalWeb"/>
              <w:spacing w:line="276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77CE">
              <w:rPr>
                <w:rFonts w:ascii="Century Gothic" w:hAnsi="Century Gothic"/>
                <w:sz w:val="22"/>
                <w:szCs w:val="22"/>
              </w:rPr>
              <w:t>Estudio para determinar la factibilidad, para la apertura del programa académico de especialización en derecho administrativo</w:t>
            </w:r>
          </w:p>
          <w:p w14:paraId="07F5B8FE" w14:textId="77777777" w:rsidR="00D30F4C" w:rsidRPr="009677CE" w:rsidRDefault="00D30F4C" w:rsidP="009677CE">
            <w:pPr>
              <w:spacing w:line="276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</w:pPr>
          </w:p>
        </w:tc>
      </w:tr>
      <w:tr w:rsidR="00E624FE" w:rsidRPr="009677CE" w14:paraId="485E1BC5" w14:textId="77777777" w:rsidTr="00195CFA">
        <w:trPr>
          <w:jc w:val="center"/>
        </w:trPr>
        <w:tc>
          <w:tcPr>
            <w:tcW w:w="4476" w:type="dxa"/>
          </w:tcPr>
          <w:p w14:paraId="181DDB30" w14:textId="5467E0F9" w:rsidR="00E624FE" w:rsidRPr="009677CE" w:rsidRDefault="00E624FE" w:rsidP="009677CE">
            <w:pPr>
              <w:spacing w:line="276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9677CE"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  <w:t>Tipo de asignatura</w:t>
            </w:r>
          </w:p>
        </w:tc>
        <w:tc>
          <w:tcPr>
            <w:tcW w:w="5028" w:type="dxa"/>
          </w:tcPr>
          <w:p w14:paraId="4C6E8E83" w14:textId="45B0FCC1" w:rsidR="00E624FE" w:rsidRPr="009677CE" w:rsidRDefault="00E624FE" w:rsidP="009677CE">
            <w:pPr>
              <w:spacing w:line="276" w:lineRule="auto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9677CE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 xml:space="preserve">[ </w:t>
            </w:r>
            <w:r w:rsidR="008962D4" w:rsidRPr="009677CE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>X</w:t>
            </w:r>
            <w:r w:rsidRPr="009677CE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 xml:space="preserve">  ] Obligatoria     [  ] Electiva</w:t>
            </w:r>
          </w:p>
        </w:tc>
      </w:tr>
      <w:tr w:rsidR="00E624FE" w:rsidRPr="009677CE" w14:paraId="2404EE35" w14:textId="77777777" w:rsidTr="00195CFA">
        <w:trPr>
          <w:jc w:val="center"/>
        </w:trPr>
        <w:tc>
          <w:tcPr>
            <w:tcW w:w="4476" w:type="dxa"/>
          </w:tcPr>
          <w:p w14:paraId="57ACD940" w14:textId="6BCF37B2" w:rsidR="00E624FE" w:rsidRPr="009677CE" w:rsidRDefault="00E624FE" w:rsidP="009677CE">
            <w:pPr>
              <w:spacing w:line="276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9677CE"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  <w:t xml:space="preserve">Número de créditos </w:t>
            </w:r>
          </w:p>
        </w:tc>
        <w:tc>
          <w:tcPr>
            <w:tcW w:w="5028" w:type="dxa"/>
          </w:tcPr>
          <w:p w14:paraId="1D175AD9" w14:textId="26169281" w:rsidR="00E624FE" w:rsidRPr="009677CE" w:rsidRDefault="008962D4" w:rsidP="009677CE">
            <w:pPr>
              <w:spacing w:line="276" w:lineRule="auto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9677CE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>2</w:t>
            </w:r>
            <w:r w:rsidR="00F074F2" w:rsidRPr="009677CE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 xml:space="preserve"> </w:t>
            </w:r>
            <w:r w:rsidRPr="009677CE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>créditos</w:t>
            </w:r>
            <w:r w:rsidR="00F074F2" w:rsidRPr="009677CE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 xml:space="preserve"> = X</w:t>
            </w:r>
            <w:r w:rsidR="00A70FE7" w:rsidRPr="009677CE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 xml:space="preserve"> horas de trabajo</w:t>
            </w:r>
            <w:r w:rsidRPr="009677CE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 xml:space="preserve"> 96</w:t>
            </w:r>
          </w:p>
        </w:tc>
      </w:tr>
      <w:tr w:rsidR="00682575" w:rsidRPr="009677CE" w14:paraId="753E2BBC" w14:textId="77777777" w:rsidTr="00195CFA">
        <w:trPr>
          <w:jc w:val="center"/>
        </w:trPr>
        <w:tc>
          <w:tcPr>
            <w:tcW w:w="4476" w:type="dxa"/>
          </w:tcPr>
          <w:p w14:paraId="2B35448C" w14:textId="143579D9" w:rsidR="00682575" w:rsidRPr="009677CE" w:rsidRDefault="00682575" w:rsidP="009677CE">
            <w:pPr>
              <w:spacing w:line="276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9677CE"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  <w:t xml:space="preserve">Director o contacto del programa </w:t>
            </w:r>
          </w:p>
        </w:tc>
        <w:tc>
          <w:tcPr>
            <w:tcW w:w="5028" w:type="dxa"/>
          </w:tcPr>
          <w:p w14:paraId="359376B7" w14:textId="4655A538" w:rsidR="00682575" w:rsidRPr="009677CE" w:rsidRDefault="00682575" w:rsidP="009677CE">
            <w:p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</w:pPr>
          </w:p>
        </w:tc>
      </w:tr>
      <w:tr w:rsidR="00D30F4C" w:rsidRPr="009677CE" w14:paraId="165D2963" w14:textId="77777777" w:rsidTr="00195CFA">
        <w:trPr>
          <w:jc w:val="center"/>
        </w:trPr>
        <w:tc>
          <w:tcPr>
            <w:tcW w:w="4476" w:type="dxa"/>
          </w:tcPr>
          <w:p w14:paraId="7BE25399" w14:textId="3A0572DB" w:rsidR="00D30F4C" w:rsidRPr="009677CE" w:rsidRDefault="00D30F4C" w:rsidP="009677CE">
            <w:pPr>
              <w:spacing w:line="276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9677CE"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  <w:t>Coordinador o contacto de la asignatura</w:t>
            </w:r>
          </w:p>
        </w:tc>
        <w:tc>
          <w:tcPr>
            <w:tcW w:w="5028" w:type="dxa"/>
          </w:tcPr>
          <w:p w14:paraId="34AE1B61" w14:textId="5EB01DCC" w:rsidR="00D30F4C" w:rsidRPr="009677CE" w:rsidRDefault="00D30F4C" w:rsidP="009677CE">
            <w:p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eastAsia="pt-PT"/>
              </w:rPr>
            </w:pPr>
          </w:p>
        </w:tc>
      </w:tr>
      <w:tr w:rsidR="005807CA" w:rsidRPr="009677CE" w14:paraId="2C53B030" w14:textId="77777777" w:rsidTr="00195CFA">
        <w:trPr>
          <w:jc w:val="center"/>
        </w:trPr>
        <w:tc>
          <w:tcPr>
            <w:tcW w:w="4476" w:type="dxa"/>
          </w:tcPr>
          <w:p w14:paraId="48F0AFC0" w14:textId="46735D6F" w:rsidR="005807CA" w:rsidRPr="009677CE" w:rsidRDefault="005807CA" w:rsidP="009677CE">
            <w:pPr>
              <w:spacing w:line="276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9677CE"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eastAsia="pt-PT"/>
              </w:rPr>
              <w:t>Horario propuesto</w:t>
            </w:r>
          </w:p>
        </w:tc>
        <w:tc>
          <w:tcPr>
            <w:tcW w:w="5028" w:type="dxa"/>
          </w:tcPr>
          <w:p w14:paraId="54932733" w14:textId="0C75568D" w:rsidR="005807CA" w:rsidRPr="009677CE" w:rsidRDefault="00E11B90" w:rsidP="009677CE">
            <w:pPr>
              <w:spacing w:line="276" w:lineRule="auto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9677CE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>Presencial</w:t>
            </w:r>
          </w:p>
        </w:tc>
      </w:tr>
    </w:tbl>
    <w:p w14:paraId="44554E93" w14:textId="77777777" w:rsidR="00F074F2" w:rsidRPr="009677CE" w:rsidRDefault="00F074F2" w:rsidP="009677CE">
      <w:pPr>
        <w:spacing w:line="276" w:lineRule="auto"/>
        <w:jc w:val="center"/>
        <w:rPr>
          <w:rFonts w:ascii="Century Gothic" w:eastAsia="Times New Roman" w:hAnsi="Century Gothic" w:cs="Times New Roman"/>
          <w:color w:val="000000"/>
          <w:kern w:val="36"/>
          <w:sz w:val="22"/>
          <w:szCs w:val="22"/>
          <w:lang w:eastAsia="pt-PT"/>
        </w:rPr>
      </w:pPr>
    </w:p>
    <w:p w14:paraId="71554033" w14:textId="3DFA3F25" w:rsidR="00682575" w:rsidRPr="009677CE" w:rsidRDefault="00682575" w:rsidP="009677CE">
      <w:pPr>
        <w:spacing w:line="276" w:lineRule="auto"/>
        <w:jc w:val="center"/>
        <w:rPr>
          <w:rFonts w:ascii="Century Gothic" w:eastAsia="Times New Roman" w:hAnsi="Century Gothic" w:cs="Times New Roman"/>
          <w:b/>
          <w:bCs/>
          <w:color w:val="000000"/>
          <w:kern w:val="36"/>
          <w:sz w:val="22"/>
          <w:szCs w:val="22"/>
          <w:lang w:eastAsia="pt-PT"/>
        </w:rPr>
      </w:pPr>
      <w:r w:rsidRPr="009677CE">
        <w:rPr>
          <w:rFonts w:ascii="Century Gothic" w:eastAsia="Times New Roman" w:hAnsi="Century Gothic" w:cs="Times New Roman"/>
          <w:b/>
          <w:bCs/>
          <w:color w:val="000000"/>
          <w:kern w:val="36"/>
          <w:sz w:val="22"/>
          <w:szCs w:val="22"/>
          <w:lang w:eastAsia="pt-PT"/>
        </w:rPr>
        <w:t>Descripción y contenidos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055"/>
      </w:tblGrid>
      <w:tr w:rsidR="00682575" w:rsidRPr="009677CE" w14:paraId="01A7EB03" w14:textId="77777777" w:rsidTr="00682575">
        <w:tc>
          <w:tcPr>
            <w:tcW w:w="10055" w:type="dxa"/>
          </w:tcPr>
          <w:p w14:paraId="1B0B9173" w14:textId="37DD1961" w:rsidR="00E624FE" w:rsidRPr="009677CE" w:rsidRDefault="00E624FE" w:rsidP="009677CE">
            <w:pPr>
              <w:pStyle w:val="Prrafodelista"/>
              <w:numPr>
                <w:ilvl w:val="0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  <w:r w:rsidRPr="009677CE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Breve descripción</w:t>
            </w:r>
          </w:p>
          <w:p w14:paraId="0C309C82" w14:textId="117D0332" w:rsidR="00E624FE" w:rsidRPr="009677CE" w:rsidRDefault="00E624FE" w:rsidP="009677CE">
            <w:pPr>
              <w:spacing w:line="276" w:lineRule="auto"/>
              <w:jc w:val="both"/>
              <w:rPr>
                <w:rFonts w:ascii="Century Gothic" w:eastAsia="Times New Roman" w:hAnsi="Century Gothic" w:cs="Times New Roman"/>
                <w:i/>
                <w:color w:val="000000"/>
                <w:sz w:val="22"/>
                <w:szCs w:val="22"/>
                <w:lang w:val="es-ES_tradnl" w:eastAsia="pt-PT"/>
              </w:rPr>
            </w:pPr>
          </w:p>
          <w:p w14:paraId="02D0112C" w14:textId="34759561" w:rsidR="009677CE" w:rsidRPr="009677CE" w:rsidRDefault="009677CE" w:rsidP="009677CE">
            <w:p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Esta asignatura</w:t>
            </w:r>
            <w:r w:rsidRPr="009677CE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 brindará </w:t>
            </w:r>
            <w:r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a los estudiantes de la especialización en Derecho Administrativo </w:t>
            </w:r>
            <w:r w:rsidRPr="009677CE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una formación de alto nivel sobre los aspectos más importantes de la regulación jurídica del procedimiento electoral, desde la determinación de los electores y la </w:t>
            </w:r>
            <w:r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determinación</w:t>
            </w:r>
            <w:r w:rsidRPr="009677CE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 de los censos electorales, pasando por el régimen jurídico de las candidaturas y análisis del sistema electoral. También está diseñado para que los </w:t>
            </w:r>
            <w:r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futuros especialistas</w:t>
            </w:r>
            <w:r w:rsidRPr="009677CE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 cuenten con herramientas prácticas que les permitan </w:t>
            </w:r>
            <w:r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intervenir profesionalmente en todos los procesos jurídicos electorales</w:t>
            </w:r>
            <w:r w:rsidRPr="009677CE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.</w:t>
            </w:r>
          </w:p>
          <w:p w14:paraId="625212CB" w14:textId="48D5B949" w:rsidR="00044865" w:rsidRPr="009677CE" w:rsidRDefault="00044865" w:rsidP="009677CE">
            <w:p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CO" w:eastAsia="pt-PT"/>
              </w:rPr>
            </w:pPr>
          </w:p>
        </w:tc>
      </w:tr>
      <w:tr w:rsidR="00682575" w:rsidRPr="009677CE" w14:paraId="7E6DABA1" w14:textId="77777777" w:rsidTr="00682575">
        <w:tc>
          <w:tcPr>
            <w:tcW w:w="10055" w:type="dxa"/>
          </w:tcPr>
          <w:p w14:paraId="462D156D" w14:textId="198A44F1" w:rsidR="00E624FE" w:rsidRPr="009677CE" w:rsidRDefault="00E624FE" w:rsidP="009677CE">
            <w:pPr>
              <w:pStyle w:val="Prrafodelista"/>
              <w:numPr>
                <w:ilvl w:val="0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  <w:r w:rsidRPr="009677CE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Objetivos</w:t>
            </w:r>
          </w:p>
          <w:p w14:paraId="52565DFA" w14:textId="00F4571F" w:rsidR="00226F5E" w:rsidRPr="009677CE" w:rsidRDefault="00226F5E" w:rsidP="009677CE">
            <w:p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</w:p>
          <w:p w14:paraId="7BD5EA4F" w14:textId="42729839" w:rsidR="00BA7681" w:rsidRPr="009677CE" w:rsidRDefault="00836D01" w:rsidP="009677CE">
            <w:p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CO" w:eastAsia="pt-PT"/>
              </w:rPr>
            </w:pPr>
            <w:r w:rsidRPr="009677CE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CO" w:eastAsia="pt-PT"/>
              </w:rPr>
              <w:t xml:space="preserve">El objetivo de este curso es formar especialistas en Derecho Administrativo apropiados con capacidad de análisis y práctica de los conocimientos en materia de </w:t>
            </w:r>
            <w:r w:rsidR="009677CE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CO" w:eastAsia="pt-PT"/>
              </w:rPr>
              <w:t xml:space="preserve">Derecho Electoral </w:t>
            </w:r>
            <w:r w:rsidRPr="009677CE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CO" w:eastAsia="pt-PT"/>
              </w:rPr>
              <w:t>y actualizarlos sobre las nuevas tendencias administrativaas y legales qu</w:t>
            </w:r>
            <w:r w:rsidR="009677CE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CO" w:eastAsia="pt-PT"/>
              </w:rPr>
              <w:t>e están rigiendo el derecho electoral en Colombia</w:t>
            </w:r>
            <w:r w:rsidRPr="009677CE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CO" w:eastAsia="pt-PT"/>
              </w:rPr>
              <w:t>.</w:t>
            </w:r>
          </w:p>
          <w:p w14:paraId="21EF8FD5" w14:textId="71FDB946" w:rsidR="00044865" w:rsidRPr="009677CE" w:rsidRDefault="00044865" w:rsidP="009677CE">
            <w:p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</w:p>
        </w:tc>
      </w:tr>
      <w:tr w:rsidR="00682575" w:rsidRPr="009677CE" w14:paraId="48474766" w14:textId="77777777" w:rsidTr="00682575">
        <w:tc>
          <w:tcPr>
            <w:tcW w:w="10055" w:type="dxa"/>
          </w:tcPr>
          <w:p w14:paraId="43B129B7" w14:textId="4B6798CD" w:rsidR="00387326" w:rsidRPr="009677CE" w:rsidRDefault="00E624FE" w:rsidP="009677CE">
            <w:pPr>
              <w:pStyle w:val="Prrafodelista"/>
              <w:numPr>
                <w:ilvl w:val="0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  <w:r w:rsidRPr="009677CE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Resultados</w:t>
            </w:r>
            <w:r w:rsidR="00C577C1" w:rsidRPr="009677CE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 de aprendizaje</w:t>
            </w:r>
          </w:p>
          <w:p w14:paraId="528EB094" w14:textId="77777777" w:rsidR="002173C6" w:rsidRPr="009677CE" w:rsidRDefault="002173C6" w:rsidP="009677CE">
            <w:pPr>
              <w:spacing w:line="276" w:lineRule="auto"/>
              <w:rPr>
                <w:rFonts w:ascii="Century Gothic" w:eastAsia="Times" w:hAnsi="Century Gothic" w:cs="Times"/>
                <w:color w:val="000000"/>
                <w:sz w:val="22"/>
                <w:szCs w:val="22"/>
              </w:rPr>
            </w:pPr>
          </w:p>
          <w:p w14:paraId="091BFA32" w14:textId="0B3E0B4C" w:rsidR="00836D01" w:rsidRPr="009677CE" w:rsidRDefault="009677CE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hAnsi="Century Gothic"/>
                <w:sz w:val="22"/>
                <w:szCs w:val="22"/>
                <w:lang w:val="es-CO"/>
              </w:rPr>
            </w:pPr>
            <w:r>
              <w:rPr>
                <w:rFonts w:ascii="Century Gothic" w:hAnsi="Century Gothic"/>
                <w:sz w:val="22"/>
                <w:szCs w:val="22"/>
                <w:lang w:val="es-CO"/>
              </w:rPr>
              <w:t>Un especialista en Derecho Administrativo apropiado</w:t>
            </w:r>
            <w:r w:rsidR="00836D01" w:rsidRPr="009677CE">
              <w:rPr>
                <w:rFonts w:ascii="Century Gothic" w:hAnsi="Century Gothic"/>
                <w:sz w:val="22"/>
                <w:szCs w:val="22"/>
                <w:lang w:val="es-CO"/>
              </w:rPr>
              <w:t xml:space="preserve"> de los conceptos fundamentales para la comprensión de la materia </w:t>
            </w:r>
            <w:r>
              <w:rPr>
                <w:rFonts w:ascii="Century Gothic" w:hAnsi="Century Gothic"/>
                <w:sz w:val="22"/>
                <w:szCs w:val="22"/>
                <w:lang w:val="es-CO"/>
              </w:rPr>
              <w:t>de Derecho Electoral</w:t>
            </w:r>
            <w:r w:rsidR="008962D4" w:rsidRPr="009677CE">
              <w:rPr>
                <w:rFonts w:ascii="Century Gothic" w:hAnsi="Century Gothic"/>
                <w:sz w:val="22"/>
                <w:szCs w:val="22"/>
                <w:lang w:val="es-CO"/>
              </w:rPr>
              <w:t>.</w:t>
            </w:r>
          </w:p>
          <w:p w14:paraId="637EE453" w14:textId="5E520D2E" w:rsidR="00836D01" w:rsidRPr="009677CE" w:rsidRDefault="00836D01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hAnsi="Century Gothic"/>
                <w:sz w:val="22"/>
                <w:szCs w:val="22"/>
                <w:lang w:val="es-CO"/>
              </w:rPr>
            </w:pPr>
            <w:r w:rsidRPr="009677CE">
              <w:rPr>
                <w:rFonts w:ascii="Century Gothic" w:eastAsia="Times New Roman" w:hAnsi="Century Gothic" w:cs="Arial"/>
                <w:bCs/>
                <w:sz w:val="22"/>
                <w:szCs w:val="22"/>
              </w:rPr>
              <w:t xml:space="preserve">Identificar la normatividad fundamental dentro del ordenamiento jurídico colombiano que rige </w:t>
            </w:r>
            <w:r w:rsidR="009677CE">
              <w:rPr>
                <w:rFonts w:ascii="Century Gothic" w:eastAsia="Times New Roman" w:hAnsi="Century Gothic" w:cs="Arial"/>
                <w:bCs/>
                <w:sz w:val="22"/>
                <w:szCs w:val="22"/>
              </w:rPr>
              <w:t>el Derecho Electoral</w:t>
            </w:r>
            <w:r w:rsidRPr="009677CE">
              <w:rPr>
                <w:rFonts w:ascii="Century Gothic" w:eastAsia="Times New Roman" w:hAnsi="Century Gothic" w:cs="Arial"/>
                <w:bCs/>
                <w:sz w:val="22"/>
                <w:szCs w:val="22"/>
              </w:rPr>
              <w:t>.</w:t>
            </w:r>
          </w:p>
          <w:p w14:paraId="4BDC7C5D" w14:textId="31C9C19E" w:rsidR="00836D01" w:rsidRPr="009677CE" w:rsidRDefault="00836D01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" w:hAnsi="Century Gothic" w:cs="Times"/>
                <w:color w:val="000000"/>
                <w:sz w:val="22"/>
                <w:szCs w:val="22"/>
                <w:lang w:val="es-CO"/>
              </w:rPr>
            </w:pPr>
            <w:r w:rsidRPr="009677CE">
              <w:rPr>
                <w:rFonts w:ascii="Century Gothic" w:eastAsia="Times" w:hAnsi="Century Gothic" w:cs="Times"/>
                <w:color w:val="000000"/>
                <w:sz w:val="22"/>
                <w:szCs w:val="22"/>
                <w:lang w:val="es-CO"/>
              </w:rPr>
              <w:t>La dinám</w:t>
            </w:r>
            <w:r w:rsidR="009677CE">
              <w:rPr>
                <w:rFonts w:ascii="Century Gothic" w:eastAsia="Times" w:hAnsi="Century Gothic" w:cs="Times"/>
                <w:color w:val="000000"/>
                <w:sz w:val="22"/>
                <w:szCs w:val="22"/>
                <w:lang w:val="es-CO"/>
              </w:rPr>
              <w:t>ica histórica de los procesos de construcción democrática</w:t>
            </w:r>
            <w:r w:rsidRPr="009677CE">
              <w:rPr>
                <w:rFonts w:ascii="Century Gothic" w:eastAsia="Times" w:hAnsi="Century Gothic" w:cs="Times"/>
                <w:color w:val="000000"/>
                <w:sz w:val="22"/>
                <w:szCs w:val="22"/>
                <w:lang w:val="es-CO"/>
              </w:rPr>
              <w:t>.</w:t>
            </w:r>
          </w:p>
          <w:p w14:paraId="53F499A5" w14:textId="1C6B41BB" w:rsidR="00836D01" w:rsidRPr="009677CE" w:rsidRDefault="00836D01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" w:hAnsi="Century Gothic" w:cs="Times"/>
                <w:color w:val="000000"/>
                <w:sz w:val="22"/>
                <w:szCs w:val="22"/>
                <w:lang w:val="es-CO"/>
              </w:rPr>
            </w:pPr>
            <w:r w:rsidRPr="009677CE">
              <w:rPr>
                <w:rFonts w:ascii="Century Gothic" w:eastAsia="Calibri" w:hAnsi="Century Gothic"/>
                <w:sz w:val="22"/>
                <w:szCs w:val="22"/>
              </w:rPr>
              <w:lastRenderedPageBreak/>
              <w:t xml:space="preserve">Distinguir con claridad los </w:t>
            </w:r>
            <w:r w:rsidR="009677CE">
              <w:rPr>
                <w:rFonts w:ascii="Century Gothic" w:eastAsia="Calibri" w:hAnsi="Century Gothic"/>
                <w:sz w:val="22"/>
                <w:szCs w:val="22"/>
              </w:rPr>
              <w:t>rasgos mas relevantes del sistema electoral colombiano</w:t>
            </w:r>
            <w:r w:rsidRPr="009677CE">
              <w:rPr>
                <w:rFonts w:ascii="Century Gothic" w:eastAsia="Calibri" w:hAnsi="Century Gothic"/>
                <w:sz w:val="22"/>
                <w:szCs w:val="22"/>
              </w:rPr>
              <w:t>.</w:t>
            </w:r>
          </w:p>
          <w:p w14:paraId="08A51344" w14:textId="475A4171" w:rsidR="006D38A3" w:rsidRPr="009677CE" w:rsidRDefault="00836D01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" w:hAnsi="Century Gothic" w:cs="Times"/>
                <w:color w:val="000000"/>
                <w:sz w:val="22"/>
                <w:szCs w:val="22"/>
                <w:lang w:val="es-CO"/>
              </w:rPr>
            </w:pPr>
            <w:r w:rsidRPr="009677CE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CO" w:eastAsia="pt-PT"/>
              </w:rPr>
              <w:t xml:space="preserve">Comprender y poner </w:t>
            </w:r>
            <w:r w:rsidR="009677CE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CO" w:eastAsia="pt-PT"/>
              </w:rPr>
              <w:t>lso procedimientos jurídicos electorales</w:t>
            </w:r>
            <w:r w:rsidRPr="009677CE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CO" w:eastAsia="pt-PT"/>
              </w:rPr>
              <w:t xml:space="preserve">. </w:t>
            </w:r>
          </w:p>
          <w:p w14:paraId="4483F7F4" w14:textId="70651293" w:rsidR="006D38A3" w:rsidRPr="009677CE" w:rsidRDefault="008962D4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333333"/>
                <w:sz w:val="22"/>
                <w:szCs w:val="22"/>
                <w:lang w:val="es-ES_tradnl" w:eastAsia="es-ES_tradnl"/>
              </w:rPr>
            </w:pPr>
            <w:r w:rsidRPr="009677CE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CO" w:eastAsia="pt-PT"/>
              </w:rPr>
              <w:t xml:space="preserve">El futuro especialista en Derecho Administrativo de la Universidad Tecnológica del Chocó podrá </w:t>
            </w:r>
            <w:r w:rsidR="00836D01" w:rsidRPr="009677CE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CO" w:eastAsia="pt-PT"/>
              </w:rPr>
              <w:t>identificar y comprender</w:t>
            </w:r>
            <w:r w:rsidRPr="009677CE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CO" w:eastAsia="pt-PT"/>
              </w:rPr>
              <w:t xml:space="preserve"> </w:t>
            </w:r>
            <w:r w:rsidR="009677CE" w:rsidRPr="009677CE">
              <w:rPr>
                <w:rFonts w:ascii="Century Gothic" w:eastAsia="Times New Roman" w:hAnsi="Century Gothic" w:cs="Times New Roman"/>
                <w:color w:val="333333"/>
                <w:sz w:val="22"/>
                <w:szCs w:val="22"/>
                <w:lang w:val="es-ES_tradnl" w:eastAsia="es-ES_tradnl"/>
              </w:rPr>
              <w:t>Ética política: inhabilidades, incompatibilidades y conflicto de intereses</w:t>
            </w:r>
            <w:r w:rsidR="009677CE">
              <w:rPr>
                <w:rFonts w:ascii="Century Gothic" w:eastAsia="Times New Roman" w:hAnsi="Century Gothic" w:cs="Times New Roman"/>
                <w:color w:val="333333"/>
                <w:sz w:val="22"/>
                <w:szCs w:val="22"/>
                <w:lang w:val="es-ES_tradnl" w:eastAsia="es-ES_tradnl"/>
              </w:rPr>
              <w:t>.</w:t>
            </w:r>
            <w:r w:rsidR="006D38A3" w:rsidRPr="009677CE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CO" w:eastAsia="pt-PT"/>
              </w:rPr>
              <w:t xml:space="preserve"> </w:t>
            </w:r>
          </w:p>
          <w:p w14:paraId="1DCE6A13" w14:textId="77777777" w:rsidR="009677CE" w:rsidRPr="009677CE" w:rsidRDefault="00836D01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333333"/>
                <w:sz w:val="22"/>
                <w:szCs w:val="22"/>
                <w:lang w:val="es-ES_tradnl" w:eastAsia="es-ES_tradnl"/>
              </w:rPr>
            </w:pPr>
            <w:r w:rsidRPr="009677CE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CO" w:eastAsia="pt-PT"/>
              </w:rPr>
              <w:t xml:space="preserve">Sustanciar y poner en práctica </w:t>
            </w:r>
            <w:r w:rsidR="009677CE" w:rsidRPr="009677CE">
              <w:rPr>
                <w:rFonts w:ascii="Century Gothic" w:eastAsia="Times New Roman" w:hAnsi="Century Gothic" w:cs="Times New Roman"/>
                <w:color w:val="333333"/>
                <w:sz w:val="22"/>
                <w:szCs w:val="22"/>
                <w:lang w:val="es-ES_tradnl" w:eastAsia="es-ES_tradnl"/>
              </w:rPr>
              <w:t>Procedimiento administrativo electoral y régimen jurídico del sufragio</w:t>
            </w:r>
          </w:p>
          <w:p w14:paraId="54915608" w14:textId="099FB941" w:rsidR="006D38A3" w:rsidRPr="009677CE" w:rsidRDefault="009677CE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333333"/>
                <w:sz w:val="22"/>
                <w:szCs w:val="22"/>
                <w:lang w:val="es-ES_tradnl" w:eastAsia="es-ES_tradnl"/>
              </w:rPr>
            </w:pPr>
            <w:r>
              <w:rPr>
                <w:rFonts w:ascii="Century Gothic" w:eastAsia="Times New Roman" w:hAnsi="Century Gothic" w:cs="Times New Roman"/>
                <w:color w:val="333333"/>
                <w:sz w:val="22"/>
                <w:szCs w:val="22"/>
                <w:lang w:val="es-ES_tradnl" w:eastAsia="es-ES_tradnl"/>
              </w:rPr>
              <w:t xml:space="preserve">Conocer acerca de los </w:t>
            </w:r>
            <w:r w:rsidRPr="009677CE">
              <w:rPr>
                <w:rFonts w:ascii="Century Gothic" w:eastAsia="Times New Roman" w:hAnsi="Century Gothic" w:cs="Times New Roman"/>
                <w:color w:val="333333"/>
                <w:sz w:val="22"/>
                <w:szCs w:val="22"/>
                <w:lang w:val="es-ES_tradnl" w:eastAsia="es-ES_tradnl"/>
              </w:rPr>
              <w:t>Delitos electorales</w:t>
            </w:r>
            <w:r w:rsidR="006D38A3" w:rsidRPr="009677CE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CO" w:eastAsia="pt-PT"/>
              </w:rPr>
              <w:t xml:space="preserve">. </w:t>
            </w:r>
          </w:p>
          <w:p w14:paraId="321E6611" w14:textId="4895CB0B" w:rsidR="006D38A3" w:rsidRPr="009677CE" w:rsidRDefault="009677CE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" w:hAnsi="Century Gothic" w:cs="Times"/>
                <w:color w:val="000000"/>
                <w:sz w:val="22"/>
                <w:szCs w:val="22"/>
                <w:lang w:val="es-CO"/>
              </w:rPr>
            </w:pPr>
            <w:r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CO" w:eastAsia="pt-PT"/>
              </w:rPr>
              <w:t>Interponer, sustanciar o intervenir con propiedad y dominio del tema en los procesos contenciosos administrativos electorales.</w:t>
            </w:r>
            <w:r w:rsidR="006D38A3" w:rsidRPr="009677CE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CO" w:eastAsia="pt-PT"/>
              </w:rPr>
              <w:t xml:space="preserve"> </w:t>
            </w:r>
          </w:p>
          <w:p w14:paraId="505E2F3E" w14:textId="272DF0A7" w:rsidR="00BA7681" w:rsidRPr="009677CE" w:rsidRDefault="00BA7681" w:rsidP="009677CE">
            <w:pPr>
              <w:spacing w:line="276" w:lineRule="auto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ES_tradnl" w:eastAsia="pt-PT"/>
              </w:rPr>
            </w:pPr>
          </w:p>
        </w:tc>
      </w:tr>
      <w:tr w:rsidR="00682575" w:rsidRPr="009677CE" w14:paraId="77DE327E" w14:textId="77777777" w:rsidTr="00682575">
        <w:tc>
          <w:tcPr>
            <w:tcW w:w="10055" w:type="dxa"/>
          </w:tcPr>
          <w:p w14:paraId="5C19F049" w14:textId="77777777" w:rsidR="009677CE" w:rsidRPr="009677CE" w:rsidRDefault="00387326" w:rsidP="009677CE">
            <w:pPr>
              <w:pStyle w:val="Prrafodelista"/>
              <w:numPr>
                <w:ilvl w:val="0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  <w:r w:rsidRPr="009677CE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lastRenderedPageBreak/>
              <w:t>Contenido</w:t>
            </w:r>
          </w:p>
          <w:p w14:paraId="4ACC88CF" w14:textId="77777777" w:rsidR="009677CE" w:rsidRPr="009677CE" w:rsidRDefault="009677CE" w:rsidP="009677CE">
            <w:pPr>
              <w:spacing w:line="276" w:lineRule="auto"/>
              <w:jc w:val="both"/>
              <w:rPr>
                <w:rFonts w:ascii="Helvetica Neue" w:eastAsia="Times New Roman" w:hAnsi="Helvetica Neue" w:cs="Times New Roman"/>
                <w:color w:val="333333"/>
                <w:sz w:val="22"/>
                <w:szCs w:val="22"/>
                <w:lang w:val="es-ES_tradnl" w:eastAsia="es-ES_tradnl"/>
              </w:rPr>
            </w:pPr>
          </w:p>
          <w:p w14:paraId="2D484466" w14:textId="35E8FCD6" w:rsidR="009677CE" w:rsidRPr="009677CE" w:rsidRDefault="009677CE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333333"/>
                <w:sz w:val="22"/>
                <w:szCs w:val="22"/>
                <w:lang w:val="es-ES_tradnl" w:eastAsia="es-ES_tradnl"/>
              </w:rPr>
            </w:pPr>
            <w:r w:rsidRPr="009677CE">
              <w:rPr>
                <w:rFonts w:ascii="Century Gothic" w:eastAsia="Times New Roman" w:hAnsi="Century Gothic" w:cs="Times New Roman"/>
                <w:color w:val="333333"/>
                <w:sz w:val="22"/>
                <w:szCs w:val="22"/>
                <w:lang w:val="es-ES_tradnl" w:eastAsia="es-ES_tradnl"/>
              </w:rPr>
              <w:t>Democracia y participación ciudadana</w:t>
            </w:r>
          </w:p>
          <w:p w14:paraId="5566B85C" w14:textId="388C46F1" w:rsidR="009677CE" w:rsidRPr="009677CE" w:rsidRDefault="009677CE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333333"/>
                <w:sz w:val="22"/>
                <w:szCs w:val="22"/>
                <w:lang w:val="es-ES_tradnl" w:eastAsia="es-ES_tradnl"/>
              </w:rPr>
            </w:pPr>
            <w:r w:rsidRPr="009677CE">
              <w:rPr>
                <w:rFonts w:ascii="Century Gothic" w:eastAsia="Times New Roman" w:hAnsi="Century Gothic" w:cs="Times New Roman"/>
                <w:color w:val="333333"/>
                <w:sz w:val="22"/>
                <w:szCs w:val="22"/>
                <w:lang w:val="es-ES_tradnl" w:eastAsia="es-ES_tradnl"/>
              </w:rPr>
              <w:t>Sistema electoral colombiano y sistemas electorales comparados</w:t>
            </w:r>
          </w:p>
          <w:p w14:paraId="2EBB6A98" w14:textId="703B20AE" w:rsidR="009677CE" w:rsidRPr="009677CE" w:rsidRDefault="009677CE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333333"/>
                <w:sz w:val="22"/>
                <w:szCs w:val="22"/>
                <w:lang w:val="es-ES_tradnl" w:eastAsia="es-ES_tradnl"/>
              </w:rPr>
            </w:pPr>
            <w:r w:rsidRPr="009677CE">
              <w:rPr>
                <w:rFonts w:ascii="Century Gothic" w:eastAsia="Times New Roman" w:hAnsi="Century Gothic" w:cs="Times New Roman"/>
                <w:color w:val="333333"/>
                <w:sz w:val="22"/>
                <w:szCs w:val="22"/>
                <w:lang w:val="es-ES_tradnl" w:eastAsia="es-ES_tradnl"/>
              </w:rPr>
              <w:t>Régimen de partidos y movimientos políticos</w:t>
            </w:r>
          </w:p>
          <w:p w14:paraId="7DF28A45" w14:textId="66A623DC" w:rsidR="009677CE" w:rsidRPr="009677CE" w:rsidRDefault="009677CE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333333"/>
                <w:sz w:val="22"/>
                <w:szCs w:val="22"/>
                <w:lang w:val="es-ES_tradnl" w:eastAsia="es-ES_tradnl"/>
              </w:rPr>
            </w:pPr>
            <w:r w:rsidRPr="009677CE">
              <w:rPr>
                <w:rFonts w:ascii="Century Gothic" w:eastAsia="Times New Roman" w:hAnsi="Century Gothic" w:cs="Times New Roman"/>
                <w:color w:val="333333"/>
                <w:sz w:val="22"/>
                <w:szCs w:val="22"/>
                <w:lang w:val="es-ES_tradnl" w:eastAsia="es-ES_tradnl"/>
              </w:rPr>
              <w:t>Grupos significativos de ciudadanos y candidaturas independientes</w:t>
            </w:r>
          </w:p>
          <w:p w14:paraId="2E2C8388" w14:textId="2A4A96E5" w:rsidR="009677CE" w:rsidRPr="009677CE" w:rsidRDefault="009677CE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333333"/>
                <w:sz w:val="22"/>
                <w:szCs w:val="22"/>
                <w:lang w:val="es-ES_tradnl" w:eastAsia="es-ES_tradnl"/>
              </w:rPr>
            </w:pPr>
            <w:r w:rsidRPr="009677CE">
              <w:rPr>
                <w:rFonts w:ascii="Century Gothic" w:eastAsia="Times New Roman" w:hAnsi="Century Gothic" w:cs="Times New Roman"/>
                <w:color w:val="333333"/>
                <w:sz w:val="22"/>
                <w:szCs w:val="22"/>
                <w:lang w:val="es-ES_tradnl" w:eastAsia="es-ES_tradnl"/>
              </w:rPr>
              <w:t>Financiación política y de campañas electorales</w:t>
            </w:r>
          </w:p>
          <w:p w14:paraId="58BC7442" w14:textId="672BF7F3" w:rsidR="009677CE" w:rsidRPr="009677CE" w:rsidRDefault="009677CE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333333"/>
                <w:sz w:val="22"/>
                <w:szCs w:val="22"/>
                <w:lang w:val="es-ES_tradnl" w:eastAsia="es-ES_tradnl"/>
              </w:rPr>
            </w:pPr>
            <w:r w:rsidRPr="009677CE">
              <w:rPr>
                <w:rFonts w:ascii="Century Gothic" w:eastAsia="Times New Roman" w:hAnsi="Century Gothic" w:cs="Times New Roman"/>
                <w:color w:val="333333"/>
                <w:sz w:val="22"/>
                <w:szCs w:val="22"/>
                <w:lang w:val="es-ES_tradnl" w:eastAsia="es-ES_tradnl"/>
              </w:rPr>
              <w:t>Procedimiento administrativo electoral y régimen jurídico del sufragio</w:t>
            </w:r>
          </w:p>
          <w:p w14:paraId="7EE578BF" w14:textId="10D71B0F" w:rsidR="009677CE" w:rsidRPr="009677CE" w:rsidRDefault="009677CE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333333"/>
                <w:sz w:val="22"/>
                <w:szCs w:val="22"/>
                <w:lang w:val="es-ES_tradnl" w:eastAsia="es-ES_tradnl"/>
              </w:rPr>
            </w:pPr>
            <w:r w:rsidRPr="009677CE">
              <w:rPr>
                <w:rFonts w:ascii="Century Gothic" w:eastAsia="Times New Roman" w:hAnsi="Century Gothic" w:cs="Times New Roman"/>
                <w:color w:val="333333"/>
                <w:sz w:val="22"/>
                <w:szCs w:val="22"/>
                <w:lang w:val="es-ES_tradnl" w:eastAsia="es-ES_tradnl"/>
              </w:rPr>
              <w:t>Delitos electorales</w:t>
            </w:r>
          </w:p>
          <w:p w14:paraId="150CF22A" w14:textId="77777777" w:rsidR="009677CE" w:rsidRPr="009677CE" w:rsidRDefault="009677CE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333333"/>
                <w:sz w:val="22"/>
                <w:szCs w:val="22"/>
                <w:lang w:val="es-ES_tradnl" w:eastAsia="es-ES_tradnl"/>
              </w:rPr>
            </w:pPr>
            <w:r w:rsidRPr="009677CE">
              <w:rPr>
                <w:rFonts w:ascii="Century Gothic" w:eastAsia="Times New Roman" w:hAnsi="Century Gothic" w:cs="Times New Roman"/>
                <w:color w:val="333333"/>
                <w:sz w:val="22"/>
                <w:szCs w:val="22"/>
                <w:lang w:val="es-ES_tradnl" w:eastAsia="es-ES_tradnl"/>
              </w:rPr>
              <w:t>Ética política: inhabilidades, incompatibilidades y conflicto de intereses</w:t>
            </w:r>
          </w:p>
          <w:p w14:paraId="6AECC971" w14:textId="66671D6E" w:rsidR="009677CE" w:rsidRPr="009677CE" w:rsidRDefault="009677CE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333333"/>
                <w:sz w:val="22"/>
                <w:szCs w:val="22"/>
                <w:lang w:val="es-ES_tradnl" w:eastAsia="es-ES_tradnl"/>
              </w:rPr>
            </w:pPr>
            <w:r w:rsidRPr="009677CE">
              <w:rPr>
                <w:rFonts w:ascii="Century Gothic" w:eastAsia="Times New Roman" w:hAnsi="Century Gothic" w:cs="Times New Roman"/>
                <w:color w:val="333333"/>
                <w:sz w:val="22"/>
                <w:szCs w:val="22"/>
                <w:lang w:val="es-ES_tradnl" w:eastAsia="es-ES_tradnl"/>
              </w:rPr>
              <w:t>Proceso contencioso electoral</w:t>
            </w:r>
          </w:p>
          <w:p w14:paraId="2FA7B46A" w14:textId="19B791C0" w:rsidR="009677CE" w:rsidRPr="009677CE" w:rsidRDefault="009677CE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333333"/>
                <w:sz w:val="22"/>
                <w:szCs w:val="22"/>
                <w:lang w:val="es-ES_tradnl" w:eastAsia="es-ES_tradnl"/>
              </w:rPr>
            </w:pPr>
            <w:r w:rsidRPr="009677CE">
              <w:rPr>
                <w:rFonts w:ascii="Century Gothic" w:eastAsia="Times New Roman" w:hAnsi="Century Gothic" w:cs="Times New Roman"/>
                <w:color w:val="333333"/>
                <w:sz w:val="22"/>
                <w:szCs w:val="22"/>
                <w:lang w:val="es-ES_tradnl" w:eastAsia="es-ES_tradnl"/>
              </w:rPr>
              <w:t>Veedurías y observación electorales</w:t>
            </w:r>
          </w:p>
          <w:p w14:paraId="3D8BFCEF" w14:textId="06617B39" w:rsidR="009677CE" w:rsidRPr="009677CE" w:rsidRDefault="009677CE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333333"/>
                <w:sz w:val="22"/>
                <w:szCs w:val="22"/>
                <w:lang w:val="es-ES_tradnl" w:eastAsia="es-ES_tradnl"/>
              </w:rPr>
            </w:pPr>
            <w:r w:rsidRPr="009677CE">
              <w:rPr>
                <w:rFonts w:ascii="Century Gothic" w:eastAsia="Times New Roman" w:hAnsi="Century Gothic" w:cs="Times New Roman"/>
                <w:color w:val="333333"/>
                <w:sz w:val="22"/>
                <w:szCs w:val="22"/>
                <w:lang w:val="es-ES_tradnl" w:eastAsia="es-ES_tradnl"/>
              </w:rPr>
              <w:t>Estatuto de la oposición</w:t>
            </w:r>
          </w:p>
          <w:p w14:paraId="6B6366EC" w14:textId="568EEA4F" w:rsidR="009677CE" w:rsidRPr="009677CE" w:rsidRDefault="009677CE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333333"/>
                <w:sz w:val="22"/>
                <w:szCs w:val="22"/>
                <w:lang w:val="es-ES_tradnl" w:eastAsia="es-ES_tradnl"/>
              </w:rPr>
            </w:pPr>
            <w:r w:rsidRPr="009677CE">
              <w:rPr>
                <w:rFonts w:ascii="Century Gothic" w:eastAsia="Times New Roman" w:hAnsi="Century Gothic" w:cs="Times New Roman"/>
                <w:color w:val="333333"/>
                <w:sz w:val="22"/>
                <w:szCs w:val="22"/>
                <w:lang w:val="es-ES_tradnl" w:eastAsia="es-ES_tradnl"/>
              </w:rPr>
              <w:t>Responsabilidad política y jurídica de los elegidos</w:t>
            </w:r>
          </w:p>
          <w:p w14:paraId="6C16ADD2" w14:textId="696C17DD" w:rsidR="009677CE" w:rsidRPr="009677CE" w:rsidRDefault="009677CE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333333"/>
                <w:sz w:val="22"/>
                <w:szCs w:val="22"/>
                <w:lang w:val="es-ES_tradnl" w:eastAsia="es-ES_tradnl"/>
              </w:rPr>
            </w:pPr>
            <w:r>
              <w:rPr>
                <w:rFonts w:ascii="Century Gothic" w:eastAsia="Times New Roman" w:hAnsi="Century Gothic" w:cs="Times New Roman"/>
                <w:color w:val="333333"/>
                <w:sz w:val="22"/>
                <w:szCs w:val="22"/>
                <w:lang w:val="es-ES_tradnl" w:eastAsia="es-ES_tradnl"/>
              </w:rPr>
              <w:t>Contencioso Electoral</w:t>
            </w:r>
          </w:p>
          <w:p w14:paraId="718AE0C7" w14:textId="59C365A3" w:rsidR="00D84756" w:rsidRPr="009677CE" w:rsidRDefault="00D84756" w:rsidP="009677C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  <w:tr w:rsidR="00682575" w:rsidRPr="009677CE" w14:paraId="2655D589" w14:textId="77777777" w:rsidTr="00682575">
        <w:tc>
          <w:tcPr>
            <w:tcW w:w="10055" w:type="dxa"/>
          </w:tcPr>
          <w:p w14:paraId="322B7ECD" w14:textId="205EC93A" w:rsidR="009552DC" w:rsidRPr="009677CE" w:rsidRDefault="009552DC" w:rsidP="009677CE">
            <w:pPr>
              <w:pStyle w:val="Prrafodelista"/>
              <w:numPr>
                <w:ilvl w:val="0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  <w:r w:rsidRPr="009677CE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Requisitos</w:t>
            </w:r>
          </w:p>
          <w:p w14:paraId="6F5A8A70" w14:textId="77777777" w:rsidR="0091053C" w:rsidRPr="009677CE" w:rsidRDefault="0091053C" w:rsidP="009677CE">
            <w:pPr>
              <w:pStyle w:val="Prrafodelista"/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</w:p>
          <w:p w14:paraId="0098A3BD" w14:textId="77777777" w:rsidR="009E06AC" w:rsidRPr="009677CE" w:rsidRDefault="009E06AC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CO" w:eastAsia="pt-PT"/>
              </w:rPr>
            </w:pPr>
            <w:r w:rsidRPr="009677CE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CO" w:eastAsia="pt-PT"/>
              </w:rPr>
              <w:t xml:space="preserve">Titulo de abogado o carreras afines. </w:t>
            </w:r>
          </w:p>
          <w:p w14:paraId="44E3F118" w14:textId="55DDF595" w:rsidR="009E06AC" w:rsidRPr="009677CE" w:rsidRDefault="009E06AC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val="es-CO" w:eastAsia="pt-PT"/>
              </w:rPr>
            </w:pPr>
            <w:r w:rsidRPr="009677CE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CO" w:eastAsia="pt-PT"/>
              </w:rPr>
              <w:t>Presentar su postulación ante el jefe del p</w:t>
            </w:r>
            <w:r w:rsidR="0066587F" w:rsidRPr="009677CE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CO" w:eastAsia="pt-PT"/>
              </w:rPr>
              <w:t>rograma, adjuntando acta de grado</w:t>
            </w:r>
            <w:r w:rsidRPr="009677CE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CO" w:eastAsia="pt-PT"/>
              </w:rPr>
              <w:t xml:space="preserve"> o grado académico. </w:t>
            </w:r>
          </w:p>
          <w:p w14:paraId="73A3AA2A" w14:textId="77777777" w:rsidR="009E06AC" w:rsidRPr="009677CE" w:rsidRDefault="009E06AC" w:rsidP="009677CE">
            <w:pPr>
              <w:spacing w:line="276" w:lineRule="auto"/>
              <w:ind w:left="360"/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val="es-CO" w:eastAsia="pt-PT"/>
              </w:rPr>
            </w:pPr>
          </w:p>
          <w:p w14:paraId="5C16A781" w14:textId="65DBB2BE" w:rsidR="009E06AC" w:rsidRPr="009677CE" w:rsidRDefault="009E06AC" w:rsidP="009677CE">
            <w:pPr>
              <w:spacing w:line="276" w:lineRule="auto"/>
              <w:ind w:left="360"/>
              <w:jc w:val="both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CO" w:eastAsia="pt-PT"/>
              </w:rPr>
            </w:pPr>
            <w:r w:rsidRPr="009677CE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CO" w:eastAsia="pt-PT"/>
              </w:rPr>
              <w:t>En casos excepcionales y debidamente analizados por la jefatura del programa, se podrán aceptar alumnos que no cuenten con alguno de los requisitos indicados previamente pero que acrediten algún grado de experiencia en</w:t>
            </w:r>
            <w:r w:rsidR="00D329F7" w:rsidRPr="009677CE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CO" w:eastAsia="pt-PT"/>
              </w:rPr>
              <w:t xml:space="preserve"> el Derecho Administrativo y Procesal Administrativo</w:t>
            </w:r>
            <w:r w:rsidRPr="009677CE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CO" w:eastAsia="pt-PT"/>
              </w:rPr>
              <w:t>.</w:t>
            </w:r>
          </w:p>
          <w:p w14:paraId="224403E3" w14:textId="7CA80578" w:rsidR="009E06AC" w:rsidRPr="009677CE" w:rsidRDefault="009E06AC" w:rsidP="009677CE">
            <w:pPr>
              <w:spacing w:line="276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kern w:val="36"/>
                <w:sz w:val="22"/>
                <w:szCs w:val="22"/>
                <w:lang w:val="es-CO" w:eastAsia="pt-PT"/>
              </w:rPr>
            </w:pPr>
          </w:p>
        </w:tc>
      </w:tr>
      <w:tr w:rsidR="00682575" w:rsidRPr="009677CE" w14:paraId="4BFF5B79" w14:textId="77777777" w:rsidTr="00682575">
        <w:tc>
          <w:tcPr>
            <w:tcW w:w="10055" w:type="dxa"/>
          </w:tcPr>
          <w:p w14:paraId="10049E8E" w14:textId="70B6A4D0" w:rsidR="00DC5986" w:rsidRPr="009677CE" w:rsidRDefault="00DC5986" w:rsidP="009677CE">
            <w:pPr>
              <w:pStyle w:val="Prrafodelista"/>
              <w:numPr>
                <w:ilvl w:val="0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  <w:r w:rsidRPr="009677CE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Recursos</w:t>
            </w:r>
          </w:p>
          <w:p w14:paraId="29DDBD25" w14:textId="77777777" w:rsidR="00132D92" w:rsidRPr="009677CE" w:rsidRDefault="00132D92" w:rsidP="009677CE">
            <w:pPr>
              <w:pStyle w:val="Prrafodelista"/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</w:p>
          <w:p w14:paraId="27D51F10" w14:textId="77777777" w:rsidR="00836D01" w:rsidRPr="009677CE" w:rsidRDefault="00836D01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</w:pPr>
            <w:r w:rsidRPr="009677CE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  <w:t xml:space="preserve">ÁLVAREZ ACEVEDO, Andrea. “La capacidad jurídica de consorcios y uniones temporales en el marco de la contratación estatal”. Verba Iuris 27 (2012): 105-124. </w:t>
            </w:r>
          </w:p>
          <w:p w14:paraId="52E67C23" w14:textId="77777777" w:rsidR="009677CE" w:rsidRPr="009677CE" w:rsidRDefault="009677CE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</w:pPr>
            <w:r w:rsidRPr="009677CE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  <w:lastRenderedPageBreak/>
              <w:t>Instituto Interamericano de Derechos Humanos. (1998). Elecciones y Democracia en América Latina 1992-1996: urnas y desencanto político. En Elecciones en Colombia (1992-1996). San José: Instituto Interamericano de Derechos Humanos.</w:t>
            </w:r>
          </w:p>
          <w:p w14:paraId="5706A0CB" w14:textId="77777777" w:rsidR="009677CE" w:rsidRPr="009677CE" w:rsidRDefault="009677CE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</w:pPr>
            <w:r w:rsidRPr="009677CE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  <w:t>Angula Amaya, M. C. (2015). Intención de voto y simpatía partidista en Bogotá. Colombia Internacional, 86, 81-106.</w:t>
            </w:r>
          </w:p>
          <w:p w14:paraId="15772CC6" w14:textId="77777777" w:rsidR="009677CE" w:rsidRPr="009677CE" w:rsidRDefault="009677CE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</w:pPr>
            <w:r w:rsidRPr="009677CE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  <w:t>Barrero, F. (2013). Abstencionismo electoral en Colombia: Una aproximación a sus causas. Bogotá: Registraduría Nacional del Estado Civil, Centro de Estudios en Democracia y Asuntos Electoral y Universidad Segiro Arboleda</w:t>
            </w:r>
          </w:p>
          <w:p w14:paraId="66C79F88" w14:textId="77777777" w:rsidR="009677CE" w:rsidRPr="009677CE" w:rsidRDefault="009677CE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</w:pPr>
            <w:r w:rsidRPr="009677CE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  <w:t>Barrero, F., &amp; Batlle, M. (2015). Elecciones en Colombia 2014 ¿Representaciones fragmentadas? Bogotá: Fundación Konrad Adenaur Stifung.</w:t>
            </w:r>
          </w:p>
          <w:p w14:paraId="4ABA7D68" w14:textId="77777777" w:rsidR="009677CE" w:rsidRPr="009677CE" w:rsidRDefault="009677CE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</w:pPr>
            <w:r w:rsidRPr="009677CE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  <w:t>Bovero, M. (2012). ¿Elecciones sin democracia? ¿Democracia sin elecciones? Sobre las formas de participación política. Revista Justicia Electoral, 1(10), 317 - 351.</w:t>
            </w:r>
          </w:p>
          <w:p w14:paraId="37759938" w14:textId="77777777" w:rsidR="009677CE" w:rsidRPr="009677CE" w:rsidRDefault="009677CE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</w:pPr>
            <w:r w:rsidRPr="009677CE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  <w:t>Flórez, J. A. (2011). Democracia y abstencionismo electoral. En R. Araújo Oñate, &amp; M. L. Torres Villareal, Retos de la democracia y de la partipación ciudadana (p.s. 153-178). Bogotá: Editorial Universidad del Rosario</w:t>
            </w:r>
          </w:p>
          <w:p w14:paraId="5ADE410E" w14:textId="77777777" w:rsidR="009677CE" w:rsidRPr="009677CE" w:rsidRDefault="009677CE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</w:pPr>
            <w:r w:rsidRPr="009677CE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  <w:t>Franco-Cuervo, B., &amp; Flórez Henao, J. A. (2009). Participación electoral: Radiografía teórica y práctica de un fenómeno en Colombia. Caso de estudio: Senado 1974 - 2006. Bogotá: Editorial Universidad del Rosario.</w:t>
            </w:r>
          </w:p>
          <w:p w14:paraId="67B5E098" w14:textId="08912492" w:rsidR="009677CE" w:rsidRPr="009677CE" w:rsidRDefault="009677CE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</w:pPr>
            <w:r w:rsidRPr="009677CE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  <w:t>García Villegas, M., &amp; Revelo Rebolledo, J. (2010). La organziación electoral en Colombia. Obtenido de Sitio web de la Organización Dejusticia: https://www.dejusticia.org/ wp-content/uploads/2017/04/fi_name_recurso_184.pdf</w:t>
            </w:r>
          </w:p>
          <w:p w14:paraId="5999DA94" w14:textId="77777777" w:rsidR="009677CE" w:rsidRPr="009677CE" w:rsidRDefault="009677CE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</w:pPr>
            <w:r w:rsidRPr="009677CE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  <w:t>Giraldo, F. (2000). El trasteo de votos en las elecciones del 2000. En Revista Javeriana, 52 (135), 647-653</w:t>
            </w:r>
          </w:p>
          <w:p w14:paraId="3F82B99C" w14:textId="77777777" w:rsidR="009677CE" w:rsidRDefault="009677CE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</w:pPr>
            <w:r w:rsidRPr="009677CE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  <w:t xml:space="preserve">Huntington, S. (1994). La Tercera Ola: La democratización a finales del Siglo XX. Barcelona: Ediciones Paidós. </w:t>
            </w:r>
          </w:p>
          <w:p w14:paraId="3E998C36" w14:textId="77777777" w:rsidR="009677CE" w:rsidRDefault="009677CE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</w:pPr>
            <w:r w:rsidRPr="009677CE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  <w:t xml:space="preserve">Jimenez, F., &amp; Forero, M. (2010). Kit de análisis elecotral. Elecciones presidenciales y legislativas 2010. Bogotá: Misión de Observación Electoral. Konrad-Adenauer-Stiftung . (2011). Concepts and principles of democratic governance and accountability. A guide for peer educators. Kampala: Konrad-Adenauer-Stiftung . </w:t>
            </w:r>
          </w:p>
          <w:p w14:paraId="040357D6" w14:textId="77777777" w:rsidR="009677CE" w:rsidRDefault="009677CE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</w:pPr>
            <w:r w:rsidRPr="009677CE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  <w:t xml:space="preserve">Madariaga Reales, A. (2016). Elecciones autoridades locales 2015 - Bogotá. Bogotá: Misión de Observación ELectoral Regional Bogotá. </w:t>
            </w:r>
          </w:p>
          <w:p w14:paraId="259C5F96" w14:textId="77777777" w:rsidR="009677CE" w:rsidRDefault="009677CE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</w:pPr>
            <w:r w:rsidRPr="009677CE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  <w:t xml:space="preserve">Madrigal Garzón, A. E. (2011). La formación del estado-nación en en Colombia durante el siglo XIX: El tratado histórico-social de la institución del orden político. Perspectivas Internacionales, 7(1), 219 - 235. </w:t>
            </w:r>
          </w:p>
          <w:p w14:paraId="0FF4ADB1" w14:textId="77777777" w:rsidR="009677CE" w:rsidRDefault="009677CE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</w:pPr>
            <w:r w:rsidRPr="009677CE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  <w:t xml:space="preserve">Mancera Morales, C. (2016). Irregularidades Electorales en Colombia. Elecciones Locales 2015. Bogotá: Misión de Observación Electoral. </w:t>
            </w:r>
          </w:p>
          <w:p w14:paraId="713E60F5" w14:textId="77777777" w:rsidR="009677CE" w:rsidRDefault="009677CE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</w:pPr>
            <w:r w:rsidRPr="009677CE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  <w:t xml:space="preserve">Martínez Ferro, H. (2009). Los principios de la legitimidad política (Ferrero y los genios invisibles de la ciudad). Revista Dialogos del Saber, 201-211. </w:t>
            </w:r>
          </w:p>
          <w:p w14:paraId="70362663" w14:textId="77777777" w:rsidR="009677CE" w:rsidRDefault="009677CE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</w:pPr>
            <w:r w:rsidRPr="009677CE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  <w:t xml:space="preserve">Medellín Torres, P. (2014). Determinantes de la participación electoral en las elecciones Colombia 2014. Bogotá: Registraduría Nacional del Estado Civil. </w:t>
            </w:r>
          </w:p>
          <w:p w14:paraId="021EB30C" w14:textId="77777777" w:rsidR="009677CE" w:rsidRDefault="009677CE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</w:pPr>
            <w:r w:rsidRPr="009677CE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  <w:lastRenderedPageBreak/>
              <w:t xml:space="preserve">Misión de Observación Electoral. (2013). Módulo Sistema Político Electoral. Bogotá: Misión de Observación Electoral. </w:t>
            </w:r>
          </w:p>
          <w:p w14:paraId="63E3419F" w14:textId="1C9A684E" w:rsidR="009677CE" w:rsidRPr="009677CE" w:rsidRDefault="009677CE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</w:pPr>
            <w:r w:rsidRPr="009677CE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  <w:t>Montoya, A. M., &amp; Pizzolitto, G. (2015). Inseguridad, impunidad y corrupción. En M. García, J. Montalvo, &amp; M. Seligson, Cultura política de la democraci</w:t>
            </w:r>
            <w:r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  <w:t>a</w:t>
            </w:r>
            <w:r w:rsidRPr="009677CE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  <w:t xml:space="preserve"> en Colombia 2015 Actitudes democráticas en zonas de consolidación territorial (p.s. 37-56). Bogotá: Observatorio de la </w:t>
            </w:r>
            <w:r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  <w:t>Democracia Universidad de los An</w:t>
            </w:r>
            <w:r w:rsidRPr="009677CE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  <w:t xml:space="preserve">des. </w:t>
            </w:r>
            <w:bookmarkStart w:id="1" w:name="_GoBack"/>
            <w:bookmarkEnd w:id="1"/>
          </w:p>
          <w:p w14:paraId="434B880B" w14:textId="77777777" w:rsidR="009677CE" w:rsidRDefault="009677CE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</w:pPr>
            <w:r w:rsidRPr="009677CE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  <w:t xml:space="preserve">Ochoa Villa, R. (2015). Comportamiento electoral de los colombianos durante las elecciones presidenciales del año 2010. Jurídicas CUC, 11(1), 209-220. </w:t>
            </w:r>
          </w:p>
          <w:p w14:paraId="160BB034" w14:textId="287988FC" w:rsidR="009677CE" w:rsidRPr="009677CE" w:rsidRDefault="009677CE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</w:pPr>
            <w:r w:rsidRPr="009677CE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  <w:t xml:space="preserve">Peña Contreras, S. L. (2007). Sistema político y democracia en Colombia: Redes de inclusión en los años sesenta y noventa una </w:t>
            </w:r>
            <w:r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  <w:t>a</w:t>
            </w:r>
            <w:r w:rsidRPr="009677CE"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  <w:t>proximación desde la teoría de los sistemas. Revista Diálogos de Saberes(26), 191 - 230.</w:t>
            </w:r>
          </w:p>
          <w:p w14:paraId="269B65BC" w14:textId="77777777" w:rsidR="009677CE" w:rsidRPr="009677CE" w:rsidRDefault="009677CE" w:rsidP="009677CE">
            <w:pPr>
              <w:pStyle w:val="Prrafodelista"/>
              <w:spacing w:line="276" w:lineRule="auto"/>
              <w:ind w:left="1080"/>
              <w:rPr>
                <w:rFonts w:ascii="Century Gothic" w:eastAsia="Times New Roman" w:hAnsi="Century Gothic" w:cs="Times New Roman"/>
                <w:color w:val="000000"/>
                <w:kern w:val="36"/>
                <w:sz w:val="22"/>
                <w:szCs w:val="22"/>
                <w:lang w:val="es-ES_tradnl" w:eastAsia="pt-PT"/>
              </w:rPr>
            </w:pPr>
          </w:p>
          <w:p w14:paraId="359113BB" w14:textId="77777777" w:rsidR="00F30339" w:rsidRPr="009677CE" w:rsidRDefault="00F30339" w:rsidP="009677CE">
            <w:pPr>
              <w:spacing w:line="276" w:lineRule="auto"/>
              <w:jc w:val="both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ES_tradnl" w:eastAsia="pt-PT"/>
              </w:rPr>
            </w:pPr>
          </w:p>
          <w:p w14:paraId="45EDB9D8" w14:textId="55F78686" w:rsidR="00F360B0" w:rsidRPr="009677CE" w:rsidRDefault="0091053C" w:rsidP="009677CE">
            <w:pPr>
              <w:spacing w:line="276" w:lineRule="auto"/>
              <w:jc w:val="both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ES_tradnl" w:eastAsia="pt-PT"/>
              </w:rPr>
            </w:pPr>
            <w:r w:rsidRPr="009677CE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val="es-ES_tradnl" w:eastAsia="pt-PT"/>
              </w:rPr>
              <w:t>Los demás recursos serán socializados en la clase, según las fechas de programación y documentación que aplique para el momento.</w:t>
            </w:r>
          </w:p>
        </w:tc>
      </w:tr>
      <w:tr w:rsidR="00682575" w:rsidRPr="009677CE" w14:paraId="288F40ED" w14:textId="77777777" w:rsidTr="00682575">
        <w:tc>
          <w:tcPr>
            <w:tcW w:w="10055" w:type="dxa"/>
          </w:tcPr>
          <w:p w14:paraId="6DE56C6D" w14:textId="44E7D2BF" w:rsidR="00E16A9F" w:rsidRPr="009677CE" w:rsidRDefault="00E16A9F" w:rsidP="009677CE">
            <w:pPr>
              <w:pStyle w:val="Prrafodelista"/>
              <w:numPr>
                <w:ilvl w:val="0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  <w:r w:rsidRPr="009677CE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lastRenderedPageBreak/>
              <w:t>Herramientas técnicas de soporte para la enseñanza</w:t>
            </w:r>
          </w:p>
          <w:p w14:paraId="157D8225" w14:textId="684C2F83" w:rsidR="00E16A9F" w:rsidRPr="009677CE" w:rsidRDefault="00E16A9F" w:rsidP="009677CE">
            <w:pPr>
              <w:spacing w:line="276" w:lineRule="auto"/>
              <w:jc w:val="both"/>
              <w:rPr>
                <w:rFonts w:ascii="Century Gothic" w:eastAsia="Times New Roman" w:hAnsi="Century Gothic" w:cs="Times New Roman"/>
                <w:i/>
                <w:color w:val="000000"/>
                <w:sz w:val="22"/>
                <w:szCs w:val="22"/>
                <w:lang w:val="es-ES_tradnl" w:eastAsia="pt-PT"/>
              </w:rPr>
            </w:pPr>
          </w:p>
          <w:p w14:paraId="00412A38" w14:textId="13490E48" w:rsidR="00DC5986" w:rsidRPr="009677CE" w:rsidRDefault="00132D92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9677CE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 xml:space="preserve">Clase magistral </w:t>
            </w:r>
            <w:r w:rsidR="003C0942" w:rsidRPr="009677CE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 xml:space="preserve">teórica practica. </w:t>
            </w:r>
          </w:p>
          <w:p w14:paraId="64D4FA36" w14:textId="50272A9E" w:rsidR="00AC661D" w:rsidRPr="009677CE" w:rsidRDefault="001864F4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9677CE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 xml:space="preserve">Prueba escrita. </w:t>
            </w:r>
          </w:p>
          <w:p w14:paraId="17D5DF5E" w14:textId="77777777" w:rsidR="001864F4" w:rsidRPr="009677CE" w:rsidRDefault="001864F4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9677CE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 xml:space="preserve">Estudio y solución de casos. </w:t>
            </w:r>
          </w:p>
          <w:p w14:paraId="1E652027" w14:textId="4DBCDA45" w:rsidR="0091053C" w:rsidRPr="009677CE" w:rsidRDefault="001864F4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</w:pPr>
            <w:r w:rsidRPr="009677CE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 xml:space="preserve">Análisis Jurisprudencial. </w:t>
            </w:r>
            <w:r w:rsidR="00AC661D" w:rsidRPr="009677CE">
              <w:rPr>
                <w:rFonts w:ascii="Century Gothic" w:eastAsia="Times New Roman" w:hAnsi="Century Gothic" w:cs="Times New Roman"/>
                <w:bCs/>
                <w:color w:val="000000"/>
                <w:kern w:val="36"/>
                <w:sz w:val="22"/>
                <w:szCs w:val="22"/>
                <w:lang w:eastAsia="pt-PT"/>
              </w:rPr>
              <w:t xml:space="preserve"> </w:t>
            </w:r>
          </w:p>
        </w:tc>
      </w:tr>
      <w:tr w:rsidR="00E62201" w:rsidRPr="009677CE" w14:paraId="2879B70D" w14:textId="77777777" w:rsidTr="00682575">
        <w:tc>
          <w:tcPr>
            <w:tcW w:w="10055" w:type="dxa"/>
          </w:tcPr>
          <w:p w14:paraId="40968B2D" w14:textId="77777777" w:rsidR="001D6CF0" w:rsidRPr="009677CE" w:rsidRDefault="00E62201" w:rsidP="009677CE">
            <w:pPr>
              <w:pStyle w:val="Prrafodelista"/>
              <w:numPr>
                <w:ilvl w:val="0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  <w:r w:rsidRPr="009677CE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Métodos de aprendizaje</w:t>
            </w:r>
          </w:p>
          <w:p w14:paraId="0E455C45" w14:textId="46DDF3FA" w:rsidR="0091053C" w:rsidRPr="009677CE" w:rsidRDefault="004D496A" w:rsidP="009677CE">
            <w:p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  <w:r w:rsidRPr="009677CE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Los métodos</w:t>
            </w:r>
            <w:r w:rsidR="00F30339" w:rsidRPr="009677CE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 de aprendizaje que desarrollará</w:t>
            </w:r>
            <w:r w:rsidRPr="009677CE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 el </w:t>
            </w:r>
            <w:r w:rsidR="00D64A20" w:rsidRPr="009677CE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docente son:</w:t>
            </w:r>
          </w:p>
          <w:p w14:paraId="64049D58" w14:textId="77777777" w:rsidR="004D496A" w:rsidRPr="009677CE" w:rsidRDefault="004D496A" w:rsidP="009677CE">
            <w:p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</w:p>
          <w:p w14:paraId="5996813E" w14:textId="407446DE" w:rsidR="00E62201" w:rsidRPr="009677CE" w:rsidRDefault="001D6CF0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  <w:r w:rsidRPr="009677CE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Aprendizaje basado en el pensamiento</w:t>
            </w:r>
            <w:r w:rsidR="004D496A" w:rsidRPr="009677CE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 - (</w:t>
            </w:r>
            <w:r w:rsidRPr="009677CE">
              <w:rPr>
                <w:rFonts w:ascii="Century Gothic" w:eastAsia="Times New Roman" w:hAnsi="Century Gothic" w:cs="Times New Roman"/>
                <w:i/>
                <w:iCs/>
                <w:color w:val="000000"/>
                <w:sz w:val="22"/>
                <w:szCs w:val="22"/>
                <w:lang w:val="es-ES_tradnl" w:eastAsia="pt-PT"/>
              </w:rPr>
              <w:t>Thinking Based Learning</w:t>
            </w:r>
            <w:r w:rsidR="00D64A20" w:rsidRPr="009677CE">
              <w:rPr>
                <w:rFonts w:ascii="Century Gothic" w:eastAsia="Times New Roman" w:hAnsi="Century Gothic" w:cs="Times New Roman"/>
                <w:i/>
                <w:iCs/>
                <w:color w:val="000000"/>
                <w:sz w:val="22"/>
                <w:szCs w:val="22"/>
                <w:lang w:val="es-ES_tradnl" w:eastAsia="pt-PT"/>
              </w:rPr>
              <w:t>). Clases</w:t>
            </w:r>
            <w:r w:rsidR="004D496A" w:rsidRPr="009677CE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 magistrales </w:t>
            </w:r>
            <w:r w:rsidR="00D64A20" w:rsidRPr="009677CE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y </w:t>
            </w:r>
            <w:r w:rsidR="0030420F" w:rsidRPr="009677CE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prácticas</w:t>
            </w:r>
            <w:r w:rsidR="004D496A" w:rsidRPr="009677CE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. </w:t>
            </w:r>
            <w:r w:rsidR="004D496A" w:rsidRPr="009677CE">
              <w:rPr>
                <w:rFonts w:ascii="Century Gothic" w:eastAsia="Times New Roman" w:hAnsi="Century Gothic" w:cs="Times New Roman"/>
                <w:i/>
                <w:iCs/>
                <w:color w:val="000000"/>
                <w:sz w:val="22"/>
                <w:szCs w:val="22"/>
                <w:lang w:val="es-ES_tradnl" w:eastAsia="pt-PT"/>
              </w:rPr>
              <w:t xml:space="preserve"> </w:t>
            </w:r>
          </w:p>
          <w:p w14:paraId="0FFE43BF" w14:textId="75FAB29D" w:rsidR="001D6CF0" w:rsidRPr="009677CE" w:rsidRDefault="001D6CF0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  <w:r w:rsidRPr="009677CE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Aprendizaje Cooperativo</w:t>
            </w:r>
            <w:r w:rsidR="004D496A" w:rsidRPr="009677CE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 – actividades en grupo. </w:t>
            </w:r>
            <w:r w:rsidRPr="009677CE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 xml:space="preserve"> </w:t>
            </w:r>
          </w:p>
        </w:tc>
      </w:tr>
      <w:tr w:rsidR="00E62201" w:rsidRPr="009677CE" w14:paraId="4EE0589A" w14:textId="77777777" w:rsidTr="00682575">
        <w:tc>
          <w:tcPr>
            <w:tcW w:w="10055" w:type="dxa"/>
          </w:tcPr>
          <w:p w14:paraId="7584C8C9" w14:textId="77777777" w:rsidR="00E62201" w:rsidRPr="009677CE" w:rsidRDefault="00E62201" w:rsidP="009677CE">
            <w:pPr>
              <w:pStyle w:val="Prrafodelista"/>
              <w:numPr>
                <w:ilvl w:val="0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  <w:r w:rsidRPr="009677CE"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  <w:t>Métodos de evaluación</w:t>
            </w:r>
          </w:p>
          <w:p w14:paraId="347AE170" w14:textId="77777777" w:rsidR="0091053C" w:rsidRPr="009677CE" w:rsidRDefault="0091053C" w:rsidP="009677CE">
            <w:p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</w:p>
          <w:p w14:paraId="49793E53" w14:textId="4977AEDD" w:rsidR="0091053C" w:rsidRPr="009677CE" w:rsidRDefault="0091053C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rPr>
                <w:rFonts w:ascii="Century Gothic" w:hAnsi="Century Gothic" w:cs="Times"/>
                <w:sz w:val="22"/>
                <w:szCs w:val="22"/>
              </w:rPr>
            </w:pPr>
            <w:r w:rsidRPr="009677CE">
              <w:rPr>
                <w:rFonts w:ascii="Century Gothic" w:hAnsi="Century Gothic" w:cs="Times"/>
                <w:sz w:val="22"/>
                <w:szCs w:val="22"/>
              </w:rPr>
              <w:t xml:space="preserve">Evaluar </w:t>
            </w:r>
            <w:r w:rsidR="005D6656" w:rsidRPr="009677CE">
              <w:rPr>
                <w:rFonts w:ascii="Century Gothic" w:hAnsi="Century Gothic" w:cs="Times"/>
                <w:sz w:val="22"/>
                <w:szCs w:val="22"/>
              </w:rPr>
              <w:t xml:space="preserve">el nivel de </w:t>
            </w:r>
            <w:r w:rsidR="004D496A" w:rsidRPr="009677CE">
              <w:rPr>
                <w:rFonts w:ascii="Century Gothic" w:hAnsi="Century Gothic" w:cs="Times"/>
                <w:sz w:val="22"/>
                <w:szCs w:val="22"/>
              </w:rPr>
              <w:t>comprensión del derecho administrativo</w:t>
            </w:r>
            <w:r w:rsidR="001864F4" w:rsidRPr="009677CE">
              <w:rPr>
                <w:rFonts w:ascii="Century Gothic" w:hAnsi="Century Gothic" w:cs="Times"/>
                <w:sz w:val="22"/>
                <w:szCs w:val="22"/>
              </w:rPr>
              <w:t xml:space="preserve"> sustancial y procesal, </w:t>
            </w:r>
            <w:r w:rsidR="004D496A" w:rsidRPr="009677CE">
              <w:rPr>
                <w:rFonts w:ascii="Century Gothic" w:hAnsi="Century Gothic" w:cs="Times"/>
                <w:sz w:val="22"/>
                <w:szCs w:val="22"/>
              </w:rPr>
              <w:t>a partir de actividades de seguimiento que se desarrollaran en el aula de clase.</w:t>
            </w:r>
          </w:p>
          <w:p w14:paraId="4D0EE126" w14:textId="4A19AB1C" w:rsidR="004744A8" w:rsidRPr="009677CE" w:rsidRDefault="0091053C" w:rsidP="009677CE">
            <w:pPr>
              <w:pStyle w:val="Prrafodelista"/>
              <w:numPr>
                <w:ilvl w:val="1"/>
                <w:numId w:val="7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2"/>
                <w:szCs w:val="22"/>
                <w:lang w:val="es-ES_tradnl" w:eastAsia="pt-PT"/>
              </w:rPr>
            </w:pPr>
            <w:r w:rsidRPr="009677CE">
              <w:rPr>
                <w:rFonts w:ascii="Century Gothic" w:hAnsi="Century Gothic" w:cs="Times"/>
                <w:sz w:val="22"/>
                <w:szCs w:val="22"/>
              </w:rPr>
              <w:t xml:space="preserve">Evaluar </w:t>
            </w:r>
            <w:r w:rsidR="005D6656" w:rsidRPr="009677CE">
              <w:rPr>
                <w:rFonts w:ascii="Century Gothic" w:hAnsi="Century Gothic" w:cs="Times"/>
                <w:sz w:val="22"/>
                <w:szCs w:val="22"/>
              </w:rPr>
              <w:t xml:space="preserve">el análisis jurisprudencial realizado por cada uno de los grupos de estudio. </w:t>
            </w:r>
          </w:p>
        </w:tc>
      </w:tr>
      <w:bookmarkEnd w:id="0"/>
    </w:tbl>
    <w:p w14:paraId="04CCAA11" w14:textId="112C2248" w:rsidR="002173C6" w:rsidRPr="009677CE" w:rsidRDefault="002173C6" w:rsidP="009677CE">
      <w:pPr>
        <w:spacing w:line="276" w:lineRule="auto"/>
        <w:rPr>
          <w:rFonts w:ascii="Century Gothic" w:hAnsi="Century Gothic"/>
          <w:sz w:val="22"/>
          <w:szCs w:val="22"/>
        </w:rPr>
      </w:pPr>
    </w:p>
    <w:p w14:paraId="747B3C24" w14:textId="5F836549" w:rsidR="002B7F5A" w:rsidRPr="009677CE" w:rsidRDefault="00CD5BF8" w:rsidP="009677CE">
      <w:pPr>
        <w:spacing w:line="276" w:lineRule="auto"/>
        <w:rPr>
          <w:rFonts w:ascii="Century Gothic" w:hAnsi="Century Gothic"/>
          <w:sz w:val="22"/>
          <w:szCs w:val="22"/>
        </w:rPr>
      </w:pPr>
      <w:r w:rsidRPr="009677CE">
        <w:rPr>
          <w:rFonts w:ascii="Century Gothic" w:hAnsi="Century Gothic"/>
          <w:sz w:val="22"/>
          <w:szCs w:val="22"/>
        </w:rPr>
        <w:t xml:space="preserve">Propuesta </w:t>
      </w:r>
      <w:r w:rsidR="002B7F5A" w:rsidRPr="009677CE">
        <w:rPr>
          <w:rFonts w:ascii="Century Gothic" w:hAnsi="Century Gothic"/>
          <w:sz w:val="22"/>
          <w:szCs w:val="22"/>
        </w:rPr>
        <w:t xml:space="preserve">realizada por: </w:t>
      </w:r>
    </w:p>
    <w:p w14:paraId="5DAD6187" w14:textId="77777777" w:rsidR="002B7F5A" w:rsidRPr="009677CE" w:rsidRDefault="002B7F5A" w:rsidP="009677CE">
      <w:pPr>
        <w:spacing w:line="276" w:lineRule="auto"/>
        <w:rPr>
          <w:rFonts w:ascii="Century Gothic" w:hAnsi="Century Gothic"/>
          <w:sz w:val="22"/>
          <w:szCs w:val="22"/>
        </w:rPr>
      </w:pPr>
    </w:p>
    <w:p w14:paraId="652BE830" w14:textId="44EBFE0E" w:rsidR="00CD5BF8" w:rsidRPr="009677CE" w:rsidRDefault="00F30339" w:rsidP="009677CE">
      <w:pPr>
        <w:spacing w:line="276" w:lineRule="auto"/>
        <w:ind w:left="1976" w:firstLine="708"/>
        <w:rPr>
          <w:rFonts w:ascii="Century Gothic" w:hAnsi="Century Gothic"/>
          <w:b/>
          <w:bCs/>
          <w:sz w:val="22"/>
          <w:szCs w:val="22"/>
        </w:rPr>
      </w:pPr>
      <w:r w:rsidRPr="009677CE">
        <w:rPr>
          <w:rFonts w:ascii="Century Gothic" w:hAnsi="Century Gothic"/>
          <w:b/>
          <w:bCs/>
          <w:sz w:val="22"/>
          <w:szCs w:val="22"/>
        </w:rPr>
        <w:t>LUIS ALBERTO RIVERA AYALA</w:t>
      </w:r>
      <w:r w:rsidR="002B7F5A" w:rsidRPr="009677CE">
        <w:rPr>
          <w:rFonts w:ascii="Century Gothic" w:hAnsi="Century Gothic"/>
          <w:b/>
          <w:bCs/>
          <w:sz w:val="22"/>
          <w:szCs w:val="22"/>
        </w:rPr>
        <w:t xml:space="preserve"> </w:t>
      </w:r>
    </w:p>
    <w:p w14:paraId="508247AC" w14:textId="64F1E1C7" w:rsidR="002B7F5A" w:rsidRPr="009677CE" w:rsidRDefault="002B7F5A" w:rsidP="009677CE">
      <w:pPr>
        <w:spacing w:line="276" w:lineRule="auto"/>
        <w:ind w:left="2684"/>
        <w:rPr>
          <w:rFonts w:ascii="Century Gothic" w:hAnsi="Century Gothic"/>
          <w:sz w:val="22"/>
          <w:szCs w:val="22"/>
        </w:rPr>
      </w:pPr>
      <w:r w:rsidRPr="009677CE">
        <w:rPr>
          <w:rFonts w:ascii="Century Gothic" w:hAnsi="Century Gothic"/>
          <w:sz w:val="22"/>
          <w:szCs w:val="22"/>
        </w:rPr>
        <w:t>Abogado, Especialista en Derecho Administrativo</w:t>
      </w:r>
      <w:r w:rsidR="00F30339" w:rsidRPr="009677CE">
        <w:rPr>
          <w:rFonts w:ascii="Century Gothic" w:hAnsi="Century Gothic"/>
          <w:sz w:val="22"/>
          <w:szCs w:val="22"/>
        </w:rPr>
        <w:t xml:space="preserve"> de la Universidad Nacional de Colombia</w:t>
      </w:r>
      <w:r w:rsidR="001864F4" w:rsidRPr="009677CE">
        <w:rPr>
          <w:rFonts w:ascii="Century Gothic" w:hAnsi="Century Gothic"/>
          <w:sz w:val="22"/>
          <w:szCs w:val="22"/>
        </w:rPr>
        <w:t>;</w:t>
      </w:r>
      <w:r w:rsidR="00F30339" w:rsidRPr="009677CE">
        <w:rPr>
          <w:rFonts w:ascii="Century Gothic" w:hAnsi="Century Gothic"/>
          <w:sz w:val="22"/>
          <w:szCs w:val="22"/>
        </w:rPr>
        <w:t xml:space="preserve"> Especialista en Derecho Constitucional de la Universidad</w:t>
      </w:r>
      <w:r w:rsidR="00A3117C" w:rsidRPr="009677CE">
        <w:rPr>
          <w:rFonts w:ascii="Century Gothic" w:hAnsi="Century Gothic"/>
          <w:sz w:val="22"/>
          <w:szCs w:val="22"/>
        </w:rPr>
        <w:t xml:space="preserve"> Nacional de Colombia</w:t>
      </w:r>
      <w:r w:rsidR="00F30339" w:rsidRPr="009677CE">
        <w:rPr>
          <w:rFonts w:ascii="Century Gothic" w:hAnsi="Century Gothic"/>
          <w:sz w:val="22"/>
          <w:szCs w:val="22"/>
        </w:rPr>
        <w:t>; y Magister en Derecho Público de la Universidad Santo Tomás de Colombia y la Universidad Konstanz de Alemania</w:t>
      </w:r>
      <w:r w:rsidR="001864F4" w:rsidRPr="009677CE">
        <w:rPr>
          <w:rFonts w:ascii="Century Gothic" w:hAnsi="Century Gothic"/>
          <w:sz w:val="22"/>
          <w:szCs w:val="22"/>
        </w:rPr>
        <w:t xml:space="preserve">. </w:t>
      </w:r>
      <w:r w:rsidRPr="009677CE">
        <w:rPr>
          <w:rFonts w:ascii="Century Gothic" w:hAnsi="Century Gothic"/>
          <w:sz w:val="22"/>
          <w:szCs w:val="22"/>
        </w:rPr>
        <w:tab/>
        <w:t xml:space="preserve"> </w:t>
      </w:r>
    </w:p>
    <w:p w14:paraId="5B062149" w14:textId="270A545A" w:rsidR="002B7F5A" w:rsidRPr="009677CE" w:rsidRDefault="002B7F5A" w:rsidP="009677CE">
      <w:pPr>
        <w:spacing w:line="276" w:lineRule="auto"/>
        <w:rPr>
          <w:rFonts w:ascii="Century Gothic" w:hAnsi="Century Gothic"/>
          <w:sz w:val="22"/>
          <w:szCs w:val="22"/>
        </w:rPr>
      </w:pPr>
      <w:r w:rsidRPr="009677CE">
        <w:rPr>
          <w:rFonts w:ascii="Century Gothic" w:hAnsi="Century Gothic"/>
          <w:sz w:val="22"/>
          <w:szCs w:val="22"/>
        </w:rPr>
        <w:tab/>
      </w:r>
      <w:r w:rsidRPr="009677CE">
        <w:rPr>
          <w:rFonts w:ascii="Century Gothic" w:hAnsi="Century Gothic"/>
          <w:sz w:val="22"/>
          <w:szCs w:val="22"/>
        </w:rPr>
        <w:tab/>
      </w:r>
      <w:r w:rsidRPr="009677CE">
        <w:rPr>
          <w:rFonts w:ascii="Century Gothic" w:hAnsi="Century Gothic"/>
          <w:sz w:val="22"/>
          <w:szCs w:val="22"/>
        </w:rPr>
        <w:tab/>
        <w:t xml:space="preserve">         Docente</w:t>
      </w:r>
      <w:r w:rsidR="001864F4" w:rsidRPr="009677CE">
        <w:rPr>
          <w:rFonts w:ascii="Century Gothic" w:hAnsi="Century Gothic"/>
          <w:sz w:val="22"/>
          <w:szCs w:val="22"/>
        </w:rPr>
        <w:t xml:space="preserve"> </w:t>
      </w:r>
      <w:r w:rsidRPr="009677CE">
        <w:rPr>
          <w:rFonts w:ascii="Century Gothic" w:hAnsi="Century Gothic"/>
          <w:sz w:val="22"/>
          <w:szCs w:val="22"/>
        </w:rPr>
        <w:t>Universidad Tecnológica del Chocó – Facultad de Derecho</w:t>
      </w:r>
    </w:p>
    <w:p w14:paraId="3116DA3F" w14:textId="4079BBB3" w:rsidR="002B7F5A" w:rsidRPr="009677CE" w:rsidRDefault="002B7F5A" w:rsidP="009677CE">
      <w:pPr>
        <w:spacing w:line="276" w:lineRule="auto"/>
        <w:rPr>
          <w:rFonts w:ascii="Century Gothic" w:hAnsi="Century Gothic"/>
          <w:sz w:val="22"/>
          <w:szCs w:val="22"/>
        </w:rPr>
      </w:pPr>
      <w:r w:rsidRPr="009677CE">
        <w:rPr>
          <w:rFonts w:ascii="Century Gothic" w:hAnsi="Century Gothic"/>
          <w:sz w:val="22"/>
          <w:szCs w:val="22"/>
        </w:rPr>
        <w:tab/>
      </w:r>
      <w:r w:rsidRPr="009677CE">
        <w:rPr>
          <w:rFonts w:ascii="Century Gothic" w:hAnsi="Century Gothic"/>
          <w:sz w:val="22"/>
          <w:szCs w:val="22"/>
        </w:rPr>
        <w:tab/>
      </w:r>
      <w:r w:rsidRPr="009677CE">
        <w:rPr>
          <w:rFonts w:ascii="Century Gothic" w:hAnsi="Century Gothic"/>
          <w:sz w:val="22"/>
          <w:szCs w:val="22"/>
        </w:rPr>
        <w:tab/>
        <w:t xml:space="preserve">         E mail: </w:t>
      </w:r>
      <w:hyperlink r:id="rId5" w:history="1">
        <w:r w:rsidR="00F30339" w:rsidRPr="009677CE">
          <w:rPr>
            <w:rStyle w:val="Hipervnculo"/>
            <w:rFonts w:ascii="Century Gothic" w:hAnsi="Century Gothic"/>
            <w:sz w:val="22"/>
            <w:szCs w:val="22"/>
          </w:rPr>
          <w:t>d-luis.rivera</w:t>
        </w:r>
        <w:r w:rsidR="001864F4" w:rsidRPr="009677CE">
          <w:rPr>
            <w:rStyle w:val="Hipervnculo"/>
            <w:rFonts w:ascii="Century Gothic" w:hAnsi="Century Gothic"/>
            <w:sz w:val="22"/>
            <w:szCs w:val="22"/>
          </w:rPr>
          <w:t>@utch.edu.co</w:t>
        </w:r>
      </w:hyperlink>
      <w:r w:rsidR="001864F4" w:rsidRPr="009677CE">
        <w:rPr>
          <w:rStyle w:val="Hipervnculo"/>
          <w:rFonts w:ascii="Century Gothic" w:hAnsi="Century Gothic"/>
          <w:sz w:val="22"/>
          <w:szCs w:val="22"/>
        </w:rPr>
        <w:t xml:space="preserve"> </w:t>
      </w:r>
      <w:r w:rsidRPr="009677CE">
        <w:rPr>
          <w:rFonts w:ascii="Century Gothic" w:hAnsi="Century Gothic"/>
          <w:sz w:val="22"/>
          <w:szCs w:val="22"/>
        </w:rPr>
        <w:t xml:space="preserve"> </w:t>
      </w:r>
    </w:p>
    <w:sectPr w:rsidR="002B7F5A" w:rsidRPr="009677CE" w:rsidSect="00767C58">
      <w:pgSz w:w="11900" w:h="16840"/>
      <w:pgMar w:top="1417" w:right="843" w:bottom="1417" w:left="99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94C92"/>
    <w:multiLevelType w:val="hybridMultilevel"/>
    <w:tmpl w:val="95B2603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B1CBE"/>
    <w:multiLevelType w:val="hybridMultilevel"/>
    <w:tmpl w:val="78E2DF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417F"/>
    <w:multiLevelType w:val="multilevel"/>
    <w:tmpl w:val="DD6AB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9513CE"/>
    <w:multiLevelType w:val="multilevel"/>
    <w:tmpl w:val="159A0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9B1967"/>
    <w:multiLevelType w:val="hybridMultilevel"/>
    <w:tmpl w:val="EA405A18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A70386"/>
    <w:multiLevelType w:val="hybridMultilevel"/>
    <w:tmpl w:val="FDD44AD8"/>
    <w:lvl w:ilvl="0" w:tplc="46CC6512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811BD0"/>
    <w:multiLevelType w:val="multilevel"/>
    <w:tmpl w:val="431AAF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6E06B9"/>
    <w:multiLevelType w:val="multilevel"/>
    <w:tmpl w:val="5298E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896DA9"/>
    <w:multiLevelType w:val="hybridMultilevel"/>
    <w:tmpl w:val="0A6E81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D877B7"/>
    <w:multiLevelType w:val="multilevel"/>
    <w:tmpl w:val="DD6AB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9AE2BF9"/>
    <w:multiLevelType w:val="hybridMultilevel"/>
    <w:tmpl w:val="595C8E44"/>
    <w:lvl w:ilvl="0" w:tplc="9F5628F2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8C4EBE"/>
    <w:multiLevelType w:val="hybridMultilevel"/>
    <w:tmpl w:val="0A6E81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535D25"/>
    <w:multiLevelType w:val="hybridMultilevel"/>
    <w:tmpl w:val="7422AEB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EB7AE7"/>
    <w:multiLevelType w:val="multilevel"/>
    <w:tmpl w:val="95240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46C2E30"/>
    <w:multiLevelType w:val="hybridMultilevel"/>
    <w:tmpl w:val="0A6E81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7E409C"/>
    <w:multiLevelType w:val="hybridMultilevel"/>
    <w:tmpl w:val="A80AF3C0"/>
    <w:lvl w:ilvl="0" w:tplc="240A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538B49C1"/>
    <w:multiLevelType w:val="hybridMultilevel"/>
    <w:tmpl w:val="4C1AF11E"/>
    <w:lvl w:ilvl="0" w:tplc="9F5628F2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CD1679"/>
    <w:multiLevelType w:val="multilevel"/>
    <w:tmpl w:val="9AA8B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5C23CCB"/>
    <w:multiLevelType w:val="hybridMultilevel"/>
    <w:tmpl w:val="0A6E81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531147"/>
    <w:multiLevelType w:val="hybridMultilevel"/>
    <w:tmpl w:val="0A6E81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1848DD"/>
    <w:multiLevelType w:val="hybridMultilevel"/>
    <w:tmpl w:val="7D12B9F2"/>
    <w:lvl w:ilvl="0" w:tplc="A830BF18">
      <w:start w:val="2"/>
      <w:numFmt w:val="bullet"/>
      <w:lvlText w:val="-"/>
      <w:lvlJc w:val="left"/>
      <w:pPr>
        <w:ind w:left="1440" w:hanging="360"/>
      </w:pPr>
      <w:rPr>
        <w:rFonts w:ascii="Century Gothic" w:eastAsia="Times New Roman" w:hAnsi="Century Gothic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D7B0B31"/>
    <w:multiLevelType w:val="hybridMultilevel"/>
    <w:tmpl w:val="00D2E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7B7FAA"/>
    <w:multiLevelType w:val="hybridMultilevel"/>
    <w:tmpl w:val="EB6AF7E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EB4119"/>
    <w:multiLevelType w:val="multilevel"/>
    <w:tmpl w:val="FDF8C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  <w:sz w:val="24"/>
      </w:rPr>
    </w:lvl>
  </w:abstractNum>
  <w:abstractNum w:abstractNumId="24">
    <w:nsid w:val="62AD5D60"/>
    <w:multiLevelType w:val="hybridMultilevel"/>
    <w:tmpl w:val="FCFA9788"/>
    <w:lvl w:ilvl="0" w:tplc="2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>
    <w:nsid w:val="678C4037"/>
    <w:multiLevelType w:val="hybridMultilevel"/>
    <w:tmpl w:val="59D6ECF2"/>
    <w:lvl w:ilvl="0" w:tplc="ED2C2E38">
      <w:start w:val="1"/>
      <w:numFmt w:val="decimal"/>
      <w:lvlText w:val="%1."/>
      <w:lvlJc w:val="left"/>
      <w:pPr>
        <w:ind w:left="1077" w:hanging="360"/>
      </w:pPr>
      <w:rPr>
        <w:rFonts w:hint="default"/>
        <w:b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1E6FDB"/>
    <w:multiLevelType w:val="hybridMultilevel"/>
    <w:tmpl w:val="3A38E72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4A4ED3"/>
    <w:multiLevelType w:val="hybridMultilevel"/>
    <w:tmpl w:val="0A6E81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69365A"/>
    <w:multiLevelType w:val="hybridMultilevel"/>
    <w:tmpl w:val="BD90F86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832956"/>
    <w:multiLevelType w:val="multilevel"/>
    <w:tmpl w:val="2796F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FAA7DCC"/>
    <w:multiLevelType w:val="multilevel"/>
    <w:tmpl w:val="84148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6"/>
  </w:num>
  <w:num w:numId="3">
    <w:abstractNumId w:val="9"/>
  </w:num>
  <w:num w:numId="4">
    <w:abstractNumId w:val="7"/>
  </w:num>
  <w:num w:numId="5">
    <w:abstractNumId w:val="13"/>
  </w:num>
  <w:num w:numId="6">
    <w:abstractNumId w:val="21"/>
  </w:num>
  <w:num w:numId="7">
    <w:abstractNumId w:val="23"/>
  </w:num>
  <w:num w:numId="8">
    <w:abstractNumId w:val="2"/>
  </w:num>
  <w:num w:numId="9">
    <w:abstractNumId w:val="14"/>
  </w:num>
  <w:num w:numId="10">
    <w:abstractNumId w:val="27"/>
  </w:num>
  <w:num w:numId="11">
    <w:abstractNumId w:val="19"/>
  </w:num>
  <w:num w:numId="12">
    <w:abstractNumId w:val="8"/>
  </w:num>
  <w:num w:numId="13">
    <w:abstractNumId w:val="11"/>
  </w:num>
  <w:num w:numId="14">
    <w:abstractNumId w:val="18"/>
  </w:num>
  <w:num w:numId="15">
    <w:abstractNumId w:val="29"/>
  </w:num>
  <w:num w:numId="16">
    <w:abstractNumId w:val="5"/>
  </w:num>
  <w:num w:numId="17">
    <w:abstractNumId w:val="20"/>
  </w:num>
  <w:num w:numId="18">
    <w:abstractNumId w:val="12"/>
  </w:num>
  <w:num w:numId="19">
    <w:abstractNumId w:val="16"/>
  </w:num>
  <w:num w:numId="20">
    <w:abstractNumId w:val="1"/>
  </w:num>
  <w:num w:numId="21">
    <w:abstractNumId w:val="15"/>
  </w:num>
  <w:num w:numId="22">
    <w:abstractNumId w:val="26"/>
  </w:num>
  <w:num w:numId="23">
    <w:abstractNumId w:val="24"/>
  </w:num>
  <w:num w:numId="24">
    <w:abstractNumId w:val="22"/>
  </w:num>
  <w:num w:numId="25">
    <w:abstractNumId w:val="28"/>
  </w:num>
  <w:num w:numId="26">
    <w:abstractNumId w:val="10"/>
  </w:num>
  <w:num w:numId="27">
    <w:abstractNumId w:val="4"/>
  </w:num>
  <w:num w:numId="28">
    <w:abstractNumId w:val="0"/>
  </w:num>
  <w:num w:numId="29">
    <w:abstractNumId w:val="25"/>
  </w:num>
  <w:num w:numId="30">
    <w:abstractNumId w:val="3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DD6"/>
    <w:rsid w:val="00044636"/>
    <w:rsid w:val="00044865"/>
    <w:rsid w:val="000C7975"/>
    <w:rsid w:val="000E5D1F"/>
    <w:rsid w:val="00105163"/>
    <w:rsid w:val="00132D92"/>
    <w:rsid w:val="00174311"/>
    <w:rsid w:val="00176272"/>
    <w:rsid w:val="001864F4"/>
    <w:rsid w:val="0019027B"/>
    <w:rsid w:val="00194FAA"/>
    <w:rsid w:val="00195CFA"/>
    <w:rsid w:val="001A67CB"/>
    <w:rsid w:val="001D6CF0"/>
    <w:rsid w:val="001F120B"/>
    <w:rsid w:val="001F3B63"/>
    <w:rsid w:val="002173C6"/>
    <w:rsid w:val="00226F5E"/>
    <w:rsid w:val="00271289"/>
    <w:rsid w:val="002B7F5A"/>
    <w:rsid w:val="002C514F"/>
    <w:rsid w:val="002E046E"/>
    <w:rsid w:val="0030420F"/>
    <w:rsid w:val="003154C7"/>
    <w:rsid w:val="00387326"/>
    <w:rsid w:val="003A1F6A"/>
    <w:rsid w:val="003C0942"/>
    <w:rsid w:val="003E52AC"/>
    <w:rsid w:val="0043037C"/>
    <w:rsid w:val="00457B9F"/>
    <w:rsid w:val="004744A8"/>
    <w:rsid w:val="00483910"/>
    <w:rsid w:val="00493B84"/>
    <w:rsid w:val="004D1D81"/>
    <w:rsid w:val="004D496A"/>
    <w:rsid w:val="004D79AC"/>
    <w:rsid w:val="00531E75"/>
    <w:rsid w:val="00575E6F"/>
    <w:rsid w:val="005807CA"/>
    <w:rsid w:val="005B3D67"/>
    <w:rsid w:val="005D6656"/>
    <w:rsid w:val="005E6151"/>
    <w:rsid w:val="00612301"/>
    <w:rsid w:val="0066587F"/>
    <w:rsid w:val="00682575"/>
    <w:rsid w:val="00683C1C"/>
    <w:rsid w:val="006D0E39"/>
    <w:rsid w:val="006D38A3"/>
    <w:rsid w:val="00734B90"/>
    <w:rsid w:val="00767C58"/>
    <w:rsid w:val="007B3E32"/>
    <w:rsid w:val="007E7C6E"/>
    <w:rsid w:val="00836D01"/>
    <w:rsid w:val="00876DD6"/>
    <w:rsid w:val="00891972"/>
    <w:rsid w:val="008962D4"/>
    <w:rsid w:val="008A5D4D"/>
    <w:rsid w:val="008E6635"/>
    <w:rsid w:val="00900711"/>
    <w:rsid w:val="0090317D"/>
    <w:rsid w:val="0091053C"/>
    <w:rsid w:val="009552DC"/>
    <w:rsid w:val="009677CE"/>
    <w:rsid w:val="009B2907"/>
    <w:rsid w:val="009E06AC"/>
    <w:rsid w:val="009F3B6E"/>
    <w:rsid w:val="00A3117C"/>
    <w:rsid w:val="00A53C39"/>
    <w:rsid w:val="00A668E5"/>
    <w:rsid w:val="00A70FE7"/>
    <w:rsid w:val="00A73EE5"/>
    <w:rsid w:val="00A755C6"/>
    <w:rsid w:val="00A75C1D"/>
    <w:rsid w:val="00AC661D"/>
    <w:rsid w:val="00B1210E"/>
    <w:rsid w:val="00B446B2"/>
    <w:rsid w:val="00BA1A7D"/>
    <w:rsid w:val="00BA7681"/>
    <w:rsid w:val="00BD03B9"/>
    <w:rsid w:val="00C03A87"/>
    <w:rsid w:val="00C22AFB"/>
    <w:rsid w:val="00C577C1"/>
    <w:rsid w:val="00CD5BF8"/>
    <w:rsid w:val="00D30F4C"/>
    <w:rsid w:val="00D329F7"/>
    <w:rsid w:val="00D36B9A"/>
    <w:rsid w:val="00D64A20"/>
    <w:rsid w:val="00D84756"/>
    <w:rsid w:val="00DC5986"/>
    <w:rsid w:val="00DC7EEB"/>
    <w:rsid w:val="00DF7760"/>
    <w:rsid w:val="00E11B90"/>
    <w:rsid w:val="00E16A9F"/>
    <w:rsid w:val="00E26277"/>
    <w:rsid w:val="00E62201"/>
    <w:rsid w:val="00E624FE"/>
    <w:rsid w:val="00E626F0"/>
    <w:rsid w:val="00EC6A37"/>
    <w:rsid w:val="00ED42DB"/>
    <w:rsid w:val="00EF7811"/>
    <w:rsid w:val="00F074F2"/>
    <w:rsid w:val="00F161FE"/>
    <w:rsid w:val="00F256D9"/>
    <w:rsid w:val="00F30339"/>
    <w:rsid w:val="00F360B0"/>
    <w:rsid w:val="00F4507E"/>
    <w:rsid w:val="00F82ADF"/>
    <w:rsid w:val="00FB4F71"/>
    <w:rsid w:val="00FF00A8"/>
    <w:rsid w:val="00FF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4C7BB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link w:val="Ttulo1Car"/>
    <w:uiPriority w:val="9"/>
    <w:qFormat/>
    <w:rsid w:val="00876DD6"/>
    <w:pPr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pt-PT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D6CF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76DD6"/>
    <w:rPr>
      <w:rFonts w:ascii="Times New Roman" w:hAnsi="Times New Roman" w:cs="Times New Roman"/>
      <w:b/>
      <w:bCs/>
      <w:kern w:val="36"/>
      <w:sz w:val="48"/>
      <w:szCs w:val="48"/>
      <w:lang w:eastAsia="pt-PT"/>
    </w:rPr>
  </w:style>
  <w:style w:type="paragraph" w:styleId="NormalWeb">
    <w:name w:val="Normal (Web)"/>
    <w:basedOn w:val="Normal"/>
    <w:uiPriority w:val="99"/>
    <w:semiHidden/>
    <w:unhideWhenUsed/>
    <w:rsid w:val="00876DD6"/>
    <w:pPr>
      <w:spacing w:before="100" w:beforeAutospacing="1" w:after="100" w:afterAutospacing="1"/>
    </w:pPr>
    <w:rPr>
      <w:rFonts w:ascii="Times New Roman" w:hAnsi="Times New Roman" w:cs="Times New Roman"/>
      <w:lang w:eastAsia="pt-PT"/>
    </w:rPr>
  </w:style>
  <w:style w:type="character" w:customStyle="1" w:styleId="notranslate">
    <w:name w:val="notranslate"/>
    <w:basedOn w:val="Fuentedeprrafopredeter"/>
    <w:rsid w:val="00876DD6"/>
  </w:style>
  <w:style w:type="character" w:styleId="Hipervnculo">
    <w:name w:val="Hyperlink"/>
    <w:basedOn w:val="Fuentedeprrafopredeter"/>
    <w:uiPriority w:val="99"/>
    <w:unhideWhenUsed/>
    <w:rsid w:val="00876DD6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3A1F6A"/>
    <w:pPr>
      <w:ind w:left="720"/>
      <w:contextualSpacing/>
    </w:pPr>
  </w:style>
  <w:style w:type="table" w:styleId="Tablaconcuadrcula">
    <w:name w:val="Table Grid"/>
    <w:basedOn w:val="Tablanormal"/>
    <w:uiPriority w:val="59"/>
    <w:rsid w:val="006825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Fuentedeprrafopredeter"/>
    <w:uiPriority w:val="99"/>
    <w:rsid w:val="007B3E32"/>
    <w:rPr>
      <w:color w:val="605E5C"/>
      <w:shd w:val="clear" w:color="auto" w:fill="E1DFDD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D6CF0"/>
    <w:rPr>
      <w:rFonts w:asciiTheme="majorHAnsi" w:eastAsiaTheme="majorEastAsia" w:hAnsiTheme="majorHAnsi" w:cstheme="majorBidi"/>
      <w:color w:val="1F3763" w:themeColor="accent1" w:themeShade="7F"/>
      <w:lang w:val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2B7F5A"/>
    <w:rPr>
      <w:color w:val="954F72" w:themeColor="followedHyperlink"/>
      <w:u w:val="single"/>
    </w:rPr>
  </w:style>
  <w:style w:type="paragraph" w:styleId="Sinespaciado">
    <w:name w:val="No Spacing"/>
    <w:link w:val="SinespaciadoCar"/>
    <w:uiPriority w:val="1"/>
    <w:qFormat/>
    <w:rsid w:val="00836D01"/>
    <w:rPr>
      <w:rFonts w:ascii="Arial" w:hAnsi="Arial"/>
      <w:sz w:val="20"/>
      <w:szCs w:val="22"/>
      <w:lang w:val="es-CO"/>
    </w:rPr>
  </w:style>
  <w:style w:type="character" w:customStyle="1" w:styleId="SinespaciadoCar">
    <w:name w:val="Sin espaciado Car"/>
    <w:link w:val="Sinespaciado"/>
    <w:uiPriority w:val="1"/>
    <w:rsid w:val="00836D01"/>
    <w:rPr>
      <w:rFonts w:ascii="Arial" w:hAnsi="Arial"/>
      <w:sz w:val="20"/>
      <w:szCs w:val="22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5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4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01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412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3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4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0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5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mailto:d-armando.valencia@utch.edu.co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1334</Words>
  <Characters>7338</Characters>
  <Application>Microsoft Macintosh Word</Application>
  <DocSecurity>0</DocSecurity>
  <Lines>61</Lines>
  <Paragraphs>17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Descripción de Asignaturas para el sello EUR ACE</vt:lpstr>
      <vt:lpstr/>
      <vt:lpstr/>
      <vt:lpstr>INSTRUCCIÓN</vt:lpstr>
      <vt:lpstr>DESCRIPCIÓN DE ASIGNATURA</vt:lpstr>
    </vt:vector>
  </TitlesOfParts>
  <Manager>Luis Eduardo Peláez Valencia</Manager>
  <Company/>
  <LinksUpToDate>false</LinksUpToDate>
  <CharactersWithSpaces>8655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Descripción de Asignaturas para el sello EUR ACE</dc:title>
  <dc:subject/>
  <dc:creator>Luis Eduardo Peláez Valencia</dc:creator>
  <cp:keywords/>
  <dc:description/>
  <cp:lastModifiedBy>Usuario de Microsoft Office</cp:lastModifiedBy>
  <cp:revision>3</cp:revision>
  <cp:lastPrinted>2019-02-13T20:02:00Z</cp:lastPrinted>
  <dcterms:created xsi:type="dcterms:W3CDTF">2020-06-28T00:16:00Z</dcterms:created>
  <dcterms:modified xsi:type="dcterms:W3CDTF">2020-06-28T01:38:00Z</dcterms:modified>
</cp:coreProperties>
</file>